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824" w:rsidRDefault="00D91C9B">
      <w:pPr>
        <w:spacing w:line="560" w:lineRule="exact"/>
        <w:jc w:val="center"/>
        <w:rPr>
          <w:rFonts w:ascii="仿宋" w:eastAsia="仿宋" w:hAnsi="仿宋" w:cs="仿宋"/>
          <w:b/>
          <w:color w:val="000000"/>
          <w:sz w:val="30"/>
          <w:szCs w:val="30"/>
        </w:rPr>
      </w:pPr>
      <w:r>
        <w:rPr>
          <w:rFonts w:ascii="仿宋" w:eastAsia="仿宋" w:hAnsi="仿宋" w:cs="仿宋" w:hint="eastAsia"/>
          <w:b/>
          <w:color w:val="000000"/>
          <w:sz w:val="30"/>
          <w:szCs w:val="30"/>
        </w:rPr>
        <w:t>清单编制说明</w:t>
      </w:r>
    </w:p>
    <w:p w:rsidR="002B7824" w:rsidRDefault="002B7824">
      <w:pPr>
        <w:spacing w:line="560" w:lineRule="exact"/>
        <w:jc w:val="center"/>
        <w:rPr>
          <w:rFonts w:ascii="仿宋" w:eastAsia="仿宋" w:hAnsi="仿宋" w:cs="仿宋"/>
          <w:b/>
          <w:color w:val="000000"/>
          <w:sz w:val="30"/>
          <w:szCs w:val="30"/>
        </w:rPr>
      </w:pPr>
    </w:p>
    <w:tbl>
      <w:tblPr>
        <w:tblW w:w="9048" w:type="dxa"/>
        <w:tblInd w:w="5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48"/>
      </w:tblGrid>
      <w:tr w:rsidR="002B7824">
        <w:trPr>
          <w:trHeight w:val="12341"/>
        </w:trPr>
        <w:tc>
          <w:tcPr>
            <w:tcW w:w="9048" w:type="dxa"/>
            <w:tcBorders>
              <w:top w:val="single" w:sz="4" w:space="0" w:color="auto"/>
              <w:left w:val="single" w:sz="4" w:space="0" w:color="auto"/>
              <w:bottom w:val="single" w:sz="4" w:space="0" w:color="auto"/>
              <w:right w:val="single" w:sz="4" w:space="0" w:color="auto"/>
            </w:tcBorders>
          </w:tcPr>
          <w:p w:rsidR="002B7824" w:rsidRDefault="00D91C9B">
            <w:pPr>
              <w:pStyle w:val="1"/>
              <w:spacing w:line="312" w:lineRule="auto"/>
              <w:ind w:firstLineChars="0" w:firstLine="0"/>
              <w:rPr>
                <w:rFonts w:ascii="仿宋" w:eastAsia="仿宋" w:hAnsi="仿宋" w:cs="仿宋"/>
                <w:color w:val="000000"/>
                <w:sz w:val="24"/>
                <w:szCs w:val="24"/>
              </w:rPr>
            </w:pPr>
            <w:r>
              <w:rPr>
                <w:rFonts w:ascii="仿宋" w:eastAsia="仿宋" w:hAnsi="仿宋" w:cs="仿宋" w:hint="eastAsia"/>
                <w:color w:val="000000"/>
                <w:sz w:val="24"/>
                <w:szCs w:val="24"/>
              </w:rPr>
              <w:t>一、项目概况：</w:t>
            </w:r>
          </w:p>
          <w:p w:rsidR="005E4DB2" w:rsidRPr="005E4DB2" w:rsidRDefault="005E4DB2" w:rsidP="005E4DB2">
            <w:pPr>
              <w:pStyle w:val="3"/>
              <w:keepNext w:val="0"/>
              <w:keepLines w:val="0"/>
              <w:snapToGrid w:val="0"/>
              <w:spacing w:before="0" w:after="0" w:line="360" w:lineRule="auto"/>
              <w:rPr>
                <w:rFonts w:ascii="仿宋_GB2312" w:eastAsia="仿宋_GB2312" w:hAnsi="宋体" w:cs="Arial"/>
                <w:b w:val="0"/>
                <w:sz w:val="24"/>
                <w:szCs w:val="24"/>
              </w:rPr>
            </w:pPr>
            <w:r w:rsidRPr="005E4DB2">
              <w:rPr>
                <w:rFonts w:ascii="仿宋_GB2312" w:eastAsia="仿宋_GB2312" w:cs="Arial" w:hint="eastAsia"/>
                <w:b w:val="0"/>
                <w:sz w:val="24"/>
                <w:szCs w:val="24"/>
              </w:rPr>
              <w:t>1.1．项目背景</w:t>
            </w:r>
            <w:r w:rsidRPr="005E4DB2">
              <w:rPr>
                <w:rFonts w:ascii="仿宋_GB2312" w:eastAsia="仿宋_GB2312" w:hAnsi="宋体" w:cs="Arial" w:hint="eastAsia"/>
                <w:b w:val="0"/>
                <w:sz w:val="24"/>
                <w:szCs w:val="24"/>
              </w:rPr>
              <w:t>和需求</w:t>
            </w:r>
          </w:p>
          <w:p w:rsidR="005E4DB2" w:rsidRPr="005E4DB2" w:rsidRDefault="005E4DB2" w:rsidP="005E4DB2">
            <w:pPr>
              <w:pStyle w:val="015"/>
              <w:rPr>
                <w:rFonts w:ascii="仿宋_GB2312" w:eastAsia="仿宋_GB2312" w:hAnsi="宋体" w:cs="Times New Roman"/>
                <w:snapToGrid w:val="0"/>
                <w:szCs w:val="24"/>
              </w:rPr>
            </w:pPr>
            <w:bookmarkStart w:id="0" w:name="_Toc317524305"/>
            <w:bookmarkStart w:id="1" w:name="_Toc318899477"/>
            <w:bookmarkStart w:id="2" w:name="_Toc320955955"/>
            <w:bookmarkStart w:id="3" w:name="_Toc393750802"/>
            <w:bookmarkStart w:id="4" w:name="_Toc393750863"/>
            <w:bookmarkStart w:id="5" w:name="_Toc479932730"/>
            <w:bookmarkStart w:id="6" w:name="_Toc393754347"/>
            <w:bookmarkStart w:id="7" w:name="_Toc317524304"/>
            <w:bookmarkStart w:id="8" w:name="_Toc320955954"/>
            <w:bookmarkStart w:id="9" w:name="_Toc318899476"/>
            <w:r w:rsidRPr="005E4DB2">
              <w:rPr>
                <w:rFonts w:ascii="仿宋_GB2312" w:eastAsia="仿宋_GB2312" w:hAnsi="宋体" w:cs="Times New Roman" w:hint="eastAsia"/>
                <w:snapToGrid w:val="0"/>
                <w:szCs w:val="24"/>
              </w:rPr>
              <w:t>本次项目为南京大学</w:t>
            </w:r>
            <w:proofErr w:type="gramStart"/>
            <w:r w:rsidRPr="005E4DB2">
              <w:rPr>
                <w:rFonts w:ascii="仿宋_GB2312" w:eastAsia="仿宋_GB2312" w:hAnsi="宋体" w:cs="Times New Roman" w:hint="eastAsia"/>
                <w:snapToGrid w:val="0"/>
                <w:szCs w:val="24"/>
              </w:rPr>
              <w:t>仙</w:t>
            </w:r>
            <w:proofErr w:type="gramEnd"/>
            <w:r w:rsidRPr="005E4DB2">
              <w:rPr>
                <w:rFonts w:ascii="仿宋_GB2312" w:eastAsia="仿宋_GB2312" w:hAnsi="宋体" w:cs="Times New Roman" w:hint="eastAsia"/>
                <w:snapToGrid w:val="0"/>
                <w:szCs w:val="24"/>
              </w:rPr>
              <w:t>林校区</w:t>
            </w:r>
            <w:r w:rsidR="009F0CF5">
              <w:rPr>
                <w:rFonts w:ascii="仿宋_GB2312" w:eastAsia="仿宋_GB2312" w:hAnsi="宋体" w:cs="Times New Roman" w:hint="eastAsia"/>
                <w:snapToGrid w:val="0"/>
                <w:szCs w:val="24"/>
              </w:rPr>
              <w:t>学生公寓四组团</w:t>
            </w:r>
            <w:r w:rsidRPr="005E4DB2">
              <w:rPr>
                <w:rFonts w:ascii="仿宋_GB2312" w:eastAsia="仿宋_GB2312" w:hAnsi="宋体" w:cs="Times New Roman" w:hint="eastAsia"/>
                <w:snapToGrid w:val="0"/>
                <w:szCs w:val="24"/>
              </w:rPr>
              <w:t>数字监控</w:t>
            </w:r>
            <w:r w:rsidR="009F0CF5">
              <w:rPr>
                <w:rFonts w:ascii="仿宋_GB2312" w:eastAsia="仿宋_GB2312" w:hAnsi="宋体" w:cs="Times New Roman" w:hint="eastAsia"/>
                <w:snapToGrid w:val="0"/>
                <w:szCs w:val="24"/>
              </w:rPr>
              <w:t>系统</w:t>
            </w:r>
            <w:r w:rsidRPr="005E4DB2">
              <w:rPr>
                <w:rFonts w:ascii="仿宋_GB2312" w:eastAsia="仿宋_GB2312" w:hAnsi="宋体" w:cs="Times New Roman" w:hint="eastAsia"/>
                <w:snapToGrid w:val="0"/>
                <w:szCs w:val="24"/>
              </w:rPr>
              <w:t>维修</w:t>
            </w:r>
            <w:r w:rsidR="009F0CF5">
              <w:rPr>
                <w:rFonts w:ascii="仿宋_GB2312" w:eastAsia="仿宋_GB2312" w:hAnsi="宋体" w:cs="Times New Roman" w:hint="eastAsia"/>
                <w:snapToGrid w:val="0"/>
                <w:szCs w:val="24"/>
              </w:rPr>
              <w:t>及服务采购</w:t>
            </w:r>
            <w:r w:rsidR="00106CB7">
              <w:rPr>
                <w:rFonts w:ascii="仿宋_GB2312" w:eastAsia="仿宋_GB2312" w:hAnsi="宋体" w:cs="Times New Roman" w:hint="eastAsia"/>
                <w:snapToGrid w:val="0"/>
                <w:szCs w:val="24"/>
              </w:rPr>
              <w:t>（BWCZB</w:t>
            </w:r>
            <w:r w:rsidR="00FE1D1D">
              <w:rPr>
                <w:rFonts w:ascii="仿宋_GB2312" w:eastAsia="仿宋_GB2312" w:hAnsi="宋体" w:cs="Times New Roman" w:hint="eastAsia"/>
                <w:snapToGrid w:val="0"/>
                <w:szCs w:val="24"/>
              </w:rPr>
              <w:t>XL</w:t>
            </w:r>
            <w:r w:rsidR="00106CB7">
              <w:rPr>
                <w:rFonts w:ascii="仿宋_GB2312" w:eastAsia="仿宋_GB2312" w:hAnsi="宋体" w:cs="Times New Roman" w:hint="eastAsia"/>
                <w:snapToGrid w:val="0"/>
                <w:szCs w:val="24"/>
              </w:rPr>
              <w:t>-2021001</w:t>
            </w:r>
            <w:r w:rsidR="00106CB7" w:rsidRPr="00106CB7">
              <w:rPr>
                <w:rFonts w:ascii="仿宋_GB2312" w:eastAsia="仿宋_GB2312" w:hAnsi="宋体" w:cs="Times New Roman" w:hint="eastAsia"/>
                <w:snapToGrid w:val="0"/>
                <w:szCs w:val="24"/>
              </w:rPr>
              <w:t>）</w:t>
            </w:r>
            <w:r w:rsidR="009F0CF5">
              <w:rPr>
                <w:rFonts w:ascii="仿宋_GB2312" w:eastAsia="仿宋_GB2312" w:hAnsi="宋体" w:cs="Times New Roman" w:hint="eastAsia"/>
                <w:snapToGrid w:val="0"/>
                <w:szCs w:val="24"/>
              </w:rPr>
              <w:t>。四组团公寓</w:t>
            </w:r>
            <w:proofErr w:type="gramStart"/>
            <w:r w:rsidRPr="005E4DB2">
              <w:rPr>
                <w:rFonts w:ascii="仿宋_GB2312" w:eastAsia="仿宋_GB2312" w:hAnsi="宋体" w:cs="Times New Roman" w:hint="eastAsia"/>
                <w:snapToGrid w:val="0"/>
                <w:szCs w:val="24"/>
              </w:rPr>
              <w:t>楼分为</w:t>
            </w:r>
            <w:proofErr w:type="gramEnd"/>
            <w:r w:rsidRPr="005E4DB2">
              <w:rPr>
                <w:rFonts w:ascii="仿宋_GB2312" w:eastAsia="仿宋_GB2312" w:hAnsi="宋体" w:cs="Times New Roman" w:hint="eastAsia"/>
                <w:snapToGrid w:val="0"/>
                <w:szCs w:val="24"/>
              </w:rPr>
              <w:t>16#-24#幢，共9幢，其中21幢为留学生</w:t>
            </w:r>
            <w:r w:rsidR="009F0CF5">
              <w:rPr>
                <w:rFonts w:ascii="仿宋_GB2312" w:eastAsia="仿宋_GB2312" w:hAnsi="宋体" w:cs="Times New Roman" w:hint="eastAsia"/>
                <w:snapToGrid w:val="0"/>
                <w:szCs w:val="24"/>
              </w:rPr>
              <w:t>公寓</w:t>
            </w:r>
            <w:r w:rsidRPr="005E4DB2">
              <w:rPr>
                <w:rFonts w:ascii="仿宋_GB2312" w:eastAsia="仿宋_GB2312" w:hAnsi="宋体" w:cs="Times New Roman" w:hint="eastAsia"/>
                <w:snapToGrid w:val="0"/>
                <w:szCs w:val="24"/>
              </w:rPr>
              <w:t>，原有数字监控系统于2014年建设完成并投入使用。</w:t>
            </w:r>
            <w:bookmarkStart w:id="10" w:name="_GoBack"/>
            <w:bookmarkEnd w:id="10"/>
          </w:p>
          <w:p w:rsidR="005E4DB2" w:rsidRPr="005E4DB2" w:rsidRDefault="005E4DB2" w:rsidP="005E4DB2">
            <w:pPr>
              <w:pStyle w:val="015"/>
              <w:rPr>
                <w:rFonts w:ascii="仿宋_GB2312" w:eastAsia="仿宋_GB2312" w:hAnsi="宋体" w:cs="Times New Roman"/>
                <w:snapToGrid w:val="0"/>
                <w:szCs w:val="24"/>
              </w:rPr>
            </w:pPr>
            <w:r w:rsidRPr="005E4DB2">
              <w:rPr>
                <w:rFonts w:ascii="仿宋_GB2312" w:eastAsia="仿宋_GB2312" w:hAnsi="宋体" w:cs="Times New Roman" w:hint="eastAsia"/>
                <w:snapToGrid w:val="0"/>
                <w:szCs w:val="24"/>
              </w:rPr>
              <w:t>由于投入使用时间较长，原有数字监控系统设备材料已出现老化或者坏损现象，导致监控视频图像不能正常显示，无法满足目前日常视频监控的需求。因此拟对四组团9</w:t>
            </w:r>
            <w:r w:rsidR="009F0CF5">
              <w:rPr>
                <w:rFonts w:ascii="仿宋_GB2312" w:eastAsia="仿宋_GB2312" w:hAnsi="宋体" w:cs="Times New Roman" w:hint="eastAsia"/>
                <w:snapToGrid w:val="0"/>
                <w:szCs w:val="24"/>
              </w:rPr>
              <w:t>幢公寓</w:t>
            </w:r>
            <w:r w:rsidRPr="005E4DB2">
              <w:rPr>
                <w:rFonts w:ascii="仿宋_GB2312" w:eastAsia="仿宋_GB2312" w:hAnsi="宋体" w:cs="Times New Roman" w:hint="eastAsia"/>
                <w:snapToGrid w:val="0"/>
                <w:szCs w:val="24"/>
              </w:rPr>
              <w:t>楼监控系统进行维修，保证每个原有监控点正常运行，提高建筑的安全保卫措施和防范，</w:t>
            </w:r>
            <w:r w:rsidRPr="005E4DB2">
              <w:rPr>
                <w:rFonts w:ascii="仿宋_GB2312" w:eastAsia="仿宋_GB2312" w:hAnsi="宋体" w:hint="eastAsia"/>
                <w:snapToGrid w:val="0"/>
                <w:szCs w:val="24"/>
              </w:rPr>
              <w:t>对进出人员进行管控</w:t>
            </w:r>
            <w:r w:rsidRPr="005E4DB2">
              <w:rPr>
                <w:rFonts w:ascii="仿宋_GB2312" w:eastAsia="仿宋_GB2312" w:hAnsi="宋体" w:cs="Times New Roman" w:hint="eastAsia"/>
                <w:snapToGrid w:val="0"/>
                <w:szCs w:val="24"/>
              </w:rPr>
              <w:t>。</w:t>
            </w:r>
          </w:p>
          <w:p w:rsidR="005E4DB2" w:rsidRPr="005E4DB2" w:rsidRDefault="005E4DB2" w:rsidP="005E4DB2">
            <w:pPr>
              <w:pStyle w:val="3"/>
              <w:keepNext w:val="0"/>
              <w:keepLines w:val="0"/>
              <w:snapToGrid w:val="0"/>
              <w:spacing w:before="0" w:after="0" w:line="360" w:lineRule="auto"/>
              <w:rPr>
                <w:rFonts w:ascii="仿宋_GB2312" w:eastAsia="仿宋_GB2312" w:cs="Arial"/>
                <w:b w:val="0"/>
                <w:sz w:val="24"/>
                <w:szCs w:val="24"/>
              </w:rPr>
            </w:pPr>
            <w:r w:rsidRPr="005E4DB2">
              <w:rPr>
                <w:rFonts w:ascii="仿宋_GB2312" w:eastAsia="仿宋_GB2312" w:cs="Arial" w:hint="eastAsia"/>
                <w:b w:val="0"/>
                <w:sz w:val="24"/>
                <w:szCs w:val="24"/>
              </w:rPr>
              <w:t>1.2. 建设</w:t>
            </w:r>
            <w:bookmarkEnd w:id="0"/>
            <w:bookmarkEnd w:id="1"/>
            <w:bookmarkEnd w:id="2"/>
            <w:r w:rsidRPr="005E4DB2">
              <w:rPr>
                <w:rFonts w:ascii="仿宋_GB2312" w:eastAsia="仿宋_GB2312" w:cs="Arial" w:hint="eastAsia"/>
                <w:b w:val="0"/>
                <w:sz w:val="24"/>
                <w:szCs w:val="24"/>
              </w:rPr>
              <w:t>内容</w:t>
            </w:r>
            <w:bookmarkEnd w:id="3"/>
            <w:bookmarkEnd w:id="4"/>
            <w:bookmarkEnd w:id="5"/>
            <w:bookmarkEnd w:id="6"/>
          </w:p>
          <w:bookmarkEnd w:id="7"/>
          <w:bookmarkEnd w:id="8"/>
          <w:bookmarkEnd w:id="9"/>
          <w:p w:rsidR="005E4DB2" w:rsidRPr="005E4DB2" w:rsidRDefault="005E4DB2" w:rsidP="005E4DB2">
            <w:pPr>
              <w:pStyle w:val="015"/>
              <w:rPr>
                <w:rFonts w:ascii="仿宋_GB2312" w:eastAsia="仿宋_GB2312" w:hAnsi="宋体" w:cs="Times New Roman"/>
                <w:snapToGrid w:val="0"/>
                <w:szCs w:val="24"/>
              </w:rPr>
            </w:pPr>
            <w:r w:rsidRPr="005E4DB2">
              <w:rPr>
                <w:rFonts w:ascii="仿宋_GB2312" w:eastAsia="仿宋_GB2312" w:hAnsi="宋体" w:cs="Times New Roman" w:hint="eastAsia"/>
                <w:snapToGrid w:val="0"/>
                <w:szCs w:val="24"/>
              </w:rPr>
              <w:t>本次维修</w:t>
            </w:r>
            <w:r w:rsidR="009F0CF5">
              <w:rPr>
                <w:rFonts w:ascii="仿宋_GB2312" w:eastAsia="仿宋_GB2312" w:hAnsi="宋体" w:cs="Times New Roman" w:hint="eastAsia"/>
                <w:snapToGrid w:val="0"/>
                <w:szCs w:val="24"/>
              </w:rPr>
              <w:t>及服务工作将对每幢公寓</w:t>
            </w:r>
            <w:r w:rsidRPr="005E4DB2">
              <w:rPr>
                <w:rFonts w:ascii="仿宋_GB2312" w:eastAsia="仿宋_GB2312" w:hAnsi="宋体" w:cs="Times New Roman" w:hint="eastAsia"/>
                <w:snapToGrid w:val="0"/>
                <w:szCs w:val="24"/>
              </w:rPr>
              <w:t>楼原有监控系统线路及设备进行坏损排查，对原有已坏损材料及设备进行更换，保证各幢监控系统正常运行。监控系统设备更换数量</w:t>
            </w:r>
            <w:proofErr w:type="gramStart"/>
            <w:r w:rsidRPr="005E4DB2">
              <w:rPr>
                <w:rFonts w:ascii="仿宋_GB2312" w:eastAsia="仿宋_GB2312" w:hAnsi="宋体" w:cs="Times New Roman" w:hint="eastAsia"/>
                <w:snapToGrid w:val="0"/>
                <w:szCs w:val="24"/>
              </w:rPr>
              <w:t>待现场</w:t>
            </w:r>
            <w:proofErr w:type="gramEnd"/>
            <w:r w:rsidRPr="005E4DB2">
              <w:rPr>
                <w:rFonts w:ascii="仿宋_GB2312" w:eastAsia="仿宋_GB2312" w:hAnsi="宋体" w:cs="Times New Roman" w:hint="eastAsia"/>
                <w:snapToGrid w:val="0"/>
                <w:szCs w:val="24"/>
              </w:rPr>
              <w:t>排查后按现场实际更换数量结算。</w:t>
            </w:r>
          </w:p>
          <w:p w:rsidR="005E4DB2" w:rsidRPr="005E4DB2" w:rsidRDefault="009F0CF5" w:rsidP="005E4DB2">
            <w:pPr>
              <w:numPr>
                <w:ilvl w:val="0"/>
                <w:numId w:val="1"/>
              </w:numPr>
              <w:spacing w:line="360" w:lineRule="auto"/>
              <w:ind w:firstLine="200"/>
              <w:rPr>
                <w:rFonts w:ascii="仿宋_GB2312" w:eastAsia="仿宋_GB2312" w:hAnsi="宋体"/>
                <w:snapToGrid w:val="0"/>
                <w:sz w:val="24"/>
                <w:szCs w:val="24"/>
              </w:rPr>
            </w:pPr>
            <w:r>
              <w:rPr>
                <w:rFonts w:ascii="仿宋_GB2312" w:eastAsia="仿宋_GB2312" w:hAnsi="宋体" w:hint="eastAsia"/>
                <w:snapToGrid w:val="0"/>
                <w:sz w:val="24"/>
                <w:szCs w:val="24"/>
              </w:rPr>
              <w:t>四组团公寓</w:t>
            </w:r>
            <w:r w:rsidR="005E4DB2" w:rsidRPr="005E4DB2">
              <w:rPr>
                <w:rFonts w:ascii="仿宋_GB2312" w:eastAsia="仿宋_GB2312" w:hAnsi="宋体" w:hint="eastAsia"/>
                <w:snapToGrid w:val="0"/>
                <w:sz w:val="24"/>
                <w:szCs w:val="24"/>
              </w:rPr>
              <w:t>楼16#-24#幢原有数字网络摄像机系统排查检修。</w:t>
            </w:r>
          </w:p>
          <w:p w:rsidR="005E4DB2" w:rsidRPr="005E4DB2" w:rsidRDefault="005E4DB2" w:rsidP="005E4DB2">
            <w:pPr>
              <w:numPr>
                <w:ilvl w:val="0"/>
                <w:numId w:val="1"/>
              </w:numPr>
              <w:spacing w:line="360" w:lineRule="auto"/>
              <w:ind w:firstLine="200"/>
              <w:rPr>
                <w:rFonts w:ascii="仿宋_GB2312" w:eastAsia="仿宋_GB2312" w:hAnsi="宋体"/>
                <w:snapToGrid w:val="0"/>
                <w:sz w:val="24"/>
                <w:szCs w:val="24"/>
              </w:rPr>
            </w:pPr>
            <w:r w:rsidRPr="005E4DB2">
              <w:rPr>
                <w:rFonts w:ascii="仿宋_GB2312" w:eastAsia="仿宋_GB2312" w:hAnsi="宋体" w:hint="eastAsia"/>
                <w:snapToGrid w:val="0"/>
                <w:sz w:val="24"/>
                <w:szCs w:val="24"/>
              </w:rPr>
              <w:t>对已坏损材料及设备进行拆除。</w:t>
            </w:r>
          </w:p>
          <w:p w:rsidR="005E4DB2" w:rsidRPr="008F7A19" w:rsidRDefault="005E4DB2" w:rsidP="005E4DB2">
            <w:pPr>
              <w:numPr>
                <w:ilvl w:val="0"/>
                <w:numId w:val="1"/>
              </w:numPr>
              <w:spacing w:line="360" w:lineRule="auto"/>
              <w:ind w:firstLine="200"/>
              <w:rPr>
                <w:rFonts w:ascii="仿宋_GB2312" w:eastAsia="仿宋_GB2312" w:hAnsi="宋体"/>
                <w:snapToGrid w:val="0"/>
                <w:sz w:val="24"/>
              </w:rPr>
            </w:pPr>
            <w:r w:rsidRPr="005E4DB2">
              <w:rPr>
                <w:rFonts w:ascii="仿宋_GB2312" w:eastAsia="仿宋_GB2312" w:hAnsi="宋体" w:hint="eastAsia"/>
                <w:snapToGrid w:val="0"/>
                <w:sz w:val="24"/>
                <w:szCs w:val="24"/>
              </w:rPr>
              <w:t>更换监控设备及材料，并安装调试完成。</w:t>
            </w:r>
          </w:p>
          <w:p w:rsidR="002B7824" w:rsidRDefault="00D91C9B">
            <w:pPr>
              <w:spacing w:line="312" w:lineRule="auto"/>
              <w:rPr>
                <w:rFonts w:ascii="仿宋" w:eastAsia="仿宋" w:hAnsi="仿宋" w:cs="仿宋"/>
                <w:color w:val="000000"/>
                <w:sz w:val="24"/>
                <w:szCs w:val="24"/>
              </w:rPr>
            </w:pPr>
            <w:r>
              <w:rPr>
                <w:rFonts w:ascii="仿宋" w:eastAsia="仿宋" w:hAnsi="仿宋" w:cs="仿宋" w:hint="eastAsia"/>
                <w:color w:val="000000"/>
                <w:sz w:val="24"/>
                <w:szCs w:val="24"/>
              </w:rPr>
              <w:t>二、工程量清单编制依据：</w:t>
            </w:r>
          </w:p>
          <w:p w:rsidR="002B7824" w:rsidRDefault="00D91C9B">
            <w:pPr>
              <w:tabs>
                <w:tab w:val="left" w:pos="0"/>
                <w:tab w:val="left" w:pos="993"/>
                <w:tab w:val="left" w:pos="1134"/>
              </w:tabs>
              <w:adjustRightInd w:val="0"/>
              <w:snapToGrid w:val="0"/>
              <w:spacing w:line="380" w:lineRule="exact"/>
              <w:ind w:firstLineChars="200" w:firstLine="480"/>
              <w:rPr>
                <w:rFonts w:ascii="仿宋" w:eastAsia="仿宋" w:hAnsi="仿宋" w:cs="仿宋"/>
                <w:snapToGrid w:val="0"/>
                <w:sz w:val="24"/>
                <w:szCs w:val="24"/>
              </w:rPr>
            </w:pPr>
            <w:r>
              <w:rPr>
                <w:rFonts w:ascii="仿宋" w:eastAsia="仿宋" w:hAnsi="仿宋" w:cs="仿宋" w:hint="eastAsia"/>
                <w:color w:val="000000"/>
                <w:sz w:val="24"/>
                <w:szCs w:val="24"/>
              </w:rPr>
              <w:t>（1）</w:t>
            </w:r>
            <w:r>
              <w:rPr>
                <w:rFonts w:ascii="仿宋" w:eastAsia="仿宋" w:hAnsi="仿宋" w:cs="仿宋" w:hint="eastAsia"/>
                <w:snapToGrid w:val="0"/>
                <w:sz w:val="24"/>
                <w:szCs w:val="24"/>
              </w:rPr>
              <w:t>《江苏省房屋修缮工程计价表》（2009年版）；</w:t>
            </w:r>
          </w:p>
          <w:p w:rsidR="002B7824" w:rsidRDefault="00D91C9B">
            <w:pPr>
              <w:tabs>
                <w:tab w:val="left" w:pos="0"/>
                <w:tab w:val="left" w:pos="993"/>
                <w:tab w:val="left" w:pos="1134"/>
              </w:tabs>
              <w:adjustRightInd w:val="0"/>
              <w:snapToGrid w:val="0"/>
              <w:spacing w:line="380" w:lineRule="exact"/>
              <w:ind w:firstLineChars="200" w:firstLine="480"/>
              <w:rPr>
                <w:rFonts w:ascii="仿宋" w:eastAsia="仿宋" w:hAnsi="仿宋" w:cs="仿宋"/>
                <w:snapToGrid w:val="0"/>
                <w:sz w:val="24"/>
                <w:szCs w:val="24"/>
              </w:rPr>
            </w:pPr>
            <w:r>
              <w:rPr>
                <w:rFonts w:ascii="仿宋" w:eastAsia="仿宋" w:hAnsi="仿宋" w:cs="仿宋" w:hint="eastAsia"/>
                <w:snapToGrid w:val="0"/>
                <w:sz w:val="24"/>
                <w:szCs w:val="24"/>
              </w:rPr>
              <w:t>（2）《江苏省建筑与装饰工程计价表（2014）》；</w:t>
            </w:r>
          </w:p>
          <w:p w:rsidR="002B7824" w:rsidRDefault="00D91C9B">
            <w:pPr>
              <w:tabs>
                <w:tab w:val="left" w:pos="0"/>
                <w:tab w:val="left" w:pos="993"/>
                <w:tab w:val="left" w:pos="1134"/>
              </w:tabs>
              <w:adjustRightInd w:val="0"/>
              <w:snapToGrid w:val="0"/>
              <w:spacing w:line="380" w:lineRule="exact"/>
              <w:ind w:firstLineChars="200" w:firstLine="480"/>
              <w:rPr>
                <w:rFonts w:ascii="仿宋" w:eastAsia="仿宋" w:hAnsi="仿宋" w:cs="仿宋"/>
                <w:snapToGrid w:val="0"/>
                <w:sz w:val="24"/>
                <w:szCs w:val="24"/>
              </w:rPr>
            </w:pPr>
            <w:r>
              <w:rPr>
                <w:rFonts w:ascii="仿宋" w:eastAsia="仿宋" w:hAnsi="仿宋" w:cs="仿宋" w:hint="eastAsia"/>
                <w:snapToGrid w:val="0"/>
                <w:sz w:val="24"/>
                <w:szCs w:val="24"/>
              </w:rPr>
              <w:t>（3）《江苏省安装工程计价表（2014）》等江苏省相关工程计价表及《江苏省建设工程工程量清单计价项目指引》；</w:t>
            </w:r>
          </w:p>
          <w:p w:rsidR="002B7824" w:rsidRDefault="00D91C9B">
            <w:pPr>
              <w:tabs>
                <w:tab w:val="left" w:pos="0"/>
                <w:tab w:val="left" w:pos="993"/>
                <w:tab w:val="left" w:pos="1134"/>
              </w:tabs>
              <w:adjustRightInd w:val="0"/>
              <w:snapToGrid w:val="0"/>
              <w:spacing w:line="380" w:lineRule="exact"/>
              <w:ind w:firstLineChars="200" w:firstLine="480"/>
              <w:rPr>
                <w:rFonts w:ascii="仿宋" w:eastAsia="仿宋" w:hAnsi="仿宋" w:cs="仿宋"/>
                <w:snapToGrid w:val="0"/>
                <w:sz w:val="24"/>
                <w:szCs w:val="24"/>
              </w:rPr>
            </w:pPr>
            <w:r>
              <w:rPr>
                <w:rFonts w:ascii="仿宋" w:eastAsia="仿宋" w:hAnsi="仿宋" w:cs="仿宋" w:hint="eastAsia"/>
                <w:snapToGrid w:val="0"/>
                <w:sz w:val="24"/>
                <w:szCs w:val="24"/>
              </w:rPr>
              <w:t>（4）工程取费执行《江苏省建设工程费用定额》（2014年版）及相关的江苏省、南京市关于工程造价方面等文件；</w:t>
            </w:r>
          </w:p>
          <w:p w:rsidR="002B7824" w:rsidRDefault="00D91C9B">
            <w:pPr>
              <w:tabs>
                <w:tab w:val="left" w:pos="0"/>
                <w:tab w:val="left" w:pos="993"/>
                <w:tab w:val="left" w:pos="1134"/>
              </w:tabs>
              <w:adjustRightInd w:val="0"/>
              <w:snapToGrid w:val="0"/>
              <w:spacing w:line="380" w:lineRule="exact"/>
              <w:ind w:firstLineChars="200" w:firstLine="480"/>
              <w:rPr>
                <w:rFonts w:ascii="仿宋" w:eastAsia="仿宋" w:hAnsi="仿宋" w:cs="仿宋"/>
                <w:snapToGrid w:val="0"/>
                <w:sz w:val="24"/>
                <w:szCs w:val="24"/>
              </w:rPr>
            </w:pPr>
            <w:r>
              <w:rPr>
                <w:rFonts w:ascii="仿宋" w:eastAsia="仿宋" w:hAnsi="仿宋" w:cs="仿宋" w:hint="eastAsia"/>
                <w:snapToGrid w:val="0"/>
                <w:sz w:val="24"/>
                <w:szCs w:val="24"/>
              </w:rPr>
              <w:t>（5）报价参考执行投标截止日前省市建委造价有关文件，投标截止日后的省市建委造价文件不予执行。</w:t>
            </w:r>
          </w:p>
          <w:p w:rsidR="002B7824" w:rsidRDefault="00D91C9B">
            <w:pPr>
              <w:tabs>
                <w:tab w:val="left" w:pos="720"/>
              </w:tabs>
              <w:spacing w:line="312" w:lineRule="auto"/>
              <w:rPr>
                <w:rFonts w:ascii="仿宋" w:eastAsia="仿宋" w:hAnsi="仿宋" w:cs="仿宋"/>
                <w:color w:val="000000"/>
                <w:sz w:val="24"/>
                <w:szCs w:val="24"/>
              </w:rPr>
            </w:pPr>
            <w:r>
              <w:rPr>
                <w:rFonts w:ascii="仿宋" w:eastAsia="仿宋" w:hAnsi="仿宋" w:cs="仿宋" w:hint="eastAsia"/>
                <w:color w:val="000000"/>
                <w:sz w:val="24"/>
                <w:szCs w:val="24"/>
              </w:rPr>
              <w:t>三、工程量清单说明</w:t>
            </w:r>
          </w:p>
          <w:p w:rsidR="002B7824" w:rsidRDefault="00D91C9B">
            <w:pPr>
              <w:tabs>
                <w:tab w:val="left" w:pos="720"/>
              </w:tabs>
              <w:spacing w:line="312" w:lineRule="auto"/>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本工程量清单是根据招标文件中包括图纸以及有关工程量清单的国家标准、行业标准、合同条款中约定的工程量计算规则编制。约定计量规则中没有的子目，其工程</w:t>
            </w:r>
            <w:proofErr w:type="gramStart"/>
            <w:r>
              <w:rPr>
                <w:rFonts w:ascii="仿宋" w:eastAsia="仿宋" w:hAnsi="仿宋" w:cs="仿宋" w:hint="eastAsia"/>
                <w:color w:val="000000"/>
                <w:sz w:val="24"/>
                <w:szCs w:val="24"/>
              </w:rPr>
              <w:t>量按照</w:t>
            </w:r>
            <w:proofErr w:type="gramEnd"/>
            <w:r>
              <w:rPr>
                <w:rFonts w:ascii="仿宋" w:eastAsia="仿宋" w:hAnsi="仿宋" w:cs="仿宋" w:hint="eastAsia"/>
                <w:color w:val="000000"/>
                <w:sz w:val="24"/>
                <w:szCs w:val="24"/>
              </w:rPr>
              <w:t>有合同约束力的图纸所标示尺寸的</w:t>
            </w:r>
            <w:proofErr w:type="gramStart"/>
            <w:r>
              <w:rPr>
                <w:rFonts w:ascii="仿宋" w:eastAsia="仿宋" w:hAnsi="仿宋" w:cs="仿宋" w:hint="eastAsia"/>
                <w:color w:val="000000"/>
                <w:sz w:val="24"/>
                <w:szCs w:val="24"/>
              </w:rPr>
              <w:t>理论净量计算</w:t>
            </w:r>
            <w:proofErr w:type="gramEnd"/>
            <w:r>
              <w:rPr>
                <w:rFonts w:ascii="仿宋" w:eastAsia="仿宋" w:hAnsi="仿宋" w:cs="仿宋" w:hint="eastAsia"/>
                <w:color w:val="000000"/>
                <w:sz w:val="24"/>
                <w:szCs w:val="24"/>
              </w:rPr>
              <w:t>。计量采用中华人民共和国法</w:t>
            </w:r>
            <w:r>
              <w:rPr>
                <w:rFonts w:ascii="仿宋" w:eastAsia="仿宋" w:hAnsi="仿宋" w:cs="仿宋" w:hint="eastAsia"/>
                <w:color w:val="000000"/>
                <w:sz w:val="24"/>
                <w:szCs w:val="24"/>
              </w:rPr>
              <w:lastRenderedPageBreak/>
              <w:t>定计量单位。</w:t>
            </w:r>
          </w:p>
          <w:p w:rsidR="002B7824" w:rsidRDefault="00D91C9B">
            <w:pPr>
              <w:numPr>
                <w:ilvl w:val="0"/>
                <w:numId w:val="2"/>
              </w:numPr>
              <w:tabs>
                <w:tab w:val="left" w:pos="720"/>
              </w:tabs>
              <w:spacing w:line="312" w:lineRule="auto"/>
              <w:rPr>
                <w:rFonts w:ascii="仿宋" w:eastAsia="仿宋" w:hAnsi="仿宋" w:cs="仿宋"/>
                <w:color w:val="000000"/>
                <w:sz w:val="24"/>
                <w:szCs w:val="24"/>
              </w:rPr>
            </w:pPr>
            <w:bookmarkStart w:id="11" w:name="_Toc179632791"/>
            <w:bookmarkStart w:id="12" w:name="_Toc152042556"/>
            <w:bookmarkStart w:id="13" w:name="_Toc144974836"/>
            <w:bookmarkStart w:id="14" w:name="_Toc152045774"/>
            <w:r>
              <w:rPr>
                <w:rFonts w:ascii="仿宋" w:eastAsia="仿宋" w:hAnsi="仿宋" w:cs="仿宋" w:hint="eastAsia"/>
                <w:color w:val="000000"/>
                <w:sz w:val="24"/>
                <w:szCs w:val="24"/>
              </w:rPr>
              <w:t>投标报价说明</w:t>
            </w:r>
            <w:bookmarkEnd w:id="11"/>
            <w:bookmarkEnd w:id="12"/>
            <w:bookmarkEnd w:id="13"/>
            <w:bookmarkEnd w:id="14"/>
          </w:p>
          <w:p w:rsidR="002B7824" w:rsidRDefault="00D91C9B">
            <w:pPr>
              <w:numPr>
                <w:ilvl w:val="0"/>
                <w:numId w:val="3"/>
              </w:numPr>
              <w:tabs>
                <w:tab w:val="left" w:pos="0"/>
                <w:tab w:val="left" w:pos="993"/>
                <w:tab w:val="left" w:pos="1134"/>
              </w:tabs>
              <w:adjustRightInd w:val="0"/>
              <w:snapToGrid w:val="0"/>
              <w:spacing w:line="380" w:lineRule="exact"/>
              <w:ind w:firstLineChars="200" w:firstLine="480"/>
              <w:rPr>
                <w:rFonts w:ascii="仿宋_GB2312" w:eastAsia="仿宋_GB2312"/>
                <w:snapToGrid w:val="0"/>
                <w:sz w:val="24"/>
              </w:rPr>
            </w:pPr>
            <w:r>
              <w:rPr>
                <w:rFonts w:ascii="仿宋_GB2312" w:eastAsia="仿宋_GB2312" w:hAnsi="仿宋_GB2312" w:cs="仿宋_GB2312" w:hint="eastAsia"/>
                <w:snapToGrid w:val="0"/>
                <w:sz w:val="24"/>
              </w:rPr>
              <w:t>人工工资参照江苏省建设工程人工工资指导价自主报价，其它费用参照省市建委发布的有关文件及政策规定等执行，报价参考执行投标截止日前省建设厅、市建委造价有关文件</w:t>
            </w:r>
            <w:r>
              <w:rPr>
                <w:rFonts w:ascii="仿宋_GB2312" w:eastAsia="仿宋_GB2312" w:hint="eastAsia"/>
                <w:snapToGrid w:val="0"/>
                <w:sz w:val="24"/>
              </w:rPr>
              <w:t>。</w:t>
            </w:r>
          </w:p>
          <w:p w:rsidR="002B7824" w:rsidRPr="00BB65FE" w:rsidRDefault="00D91C9B">
            <w:pPr>
              <w:tabs>
                <w:tab w:val="left" w:pos="0"/>
                <w:tab w:val="left" w:pos="993"/>
                <w:tab w:val="left" w:pos="1134"/>
              </w:tabs>
              <w:adjustRightInd w:val="0"/>
              <w:snapToGrid w:val="0"/>
              <w:spacing w:line="380" w:lineRule="exact"/>
              <w:ind w:firstLineChars="200" w:firstLine="480"/>
              <w:rPr>
                <w:rFonts w:ascii="仿宋" w:eastAsia="仿宋" w:hAnsi="仿宋"/>
                <w:snapToGrid w:val="0"/>
                <w:sz w:val="24"/>
              </w:rPr>
            </w:pPr>
            <w:r>
              <w:rPr>
                <w:rFonts w:ascii="仿宋_GB2312" w:eastAsia="仿宋_GB2312" w:hint="eastAsia"/>
                <w:snapToGrid w:val="0"/>
                <w:sz w:val="24"/>
              </w:rPr>
              <w:t>（2）</w:t>
            </w:r>
            <w:proofErr w:type="gramStart"/>
            <w:r>
              <w:rPr>
                <w:rFonts w:ascii="仿宋_GB2312" w:eastAsia="仿宋_GB2312" w:hint="eastAsia"/>
                <w:snapToGrid w:val="0"/>
                <w:sz w:val="24"/>
              </w:rPr>
              <w:t>规</w:t>
            </w:r>
            <w:proofErr w:type="gramEnd"/>
            <w:r>
              <w:rPr>
                <w:rFonts w:ascii="仿宋_GB2312" w:eastAsia="仿宋_GB2312" w:hint="eastAsia"/>
                <w:snapToGrid w:val="0"/>
                <w:sz w:val="24"/>
              </w:rPr>
              <w:t>费、税金按江苏省、南京市现行计价文件的规定计取，其中，安全文明</w:t>
            </w:r>
            <w:r w:rsidRPr="00A64B6B">
              <w:rPr>
                <w:rFonts w:ascii="仿宋_GB2312" w:eastAsia="仿宋_GB2312" w:hAnsi="仿宋_GB2312" w:cs="仿宋_GB2312" w:hint="eastAsia"/>
                <w:sz w:val="24"/>
              </w:rPr>
              <w:t>施工</w:t>
            </w:r>
            <w:r>
              <w:rPr>
                <w:rFonts w:ascii="仿宋_GB2312" w:eastAsia="仿宋_GB2312" w:hint="eastAsia"/>
                <w:snapToGrid w:val="0"/>
                <w:sz w:val="24"/>
              </w:rPr>
              <w:t>措施费仅计取基本费，</w:t>
            </w:r>
            <w:r w:rsidR="00BB65FE" w:rsidRPr="00BB65FE">
              <w:rPr>
                <w:rFonts w:ascii="仿宋_GB2312" w:eastAsia="仿宋_GB2312" w:hAnsi="仿宋_GB2312" w:cs="仿宋_GB2312" w:hint="eastAsia"/>
                <w:sz w:val="24"/>
              </w:rPr>
              <w:t>扬尘污染防治增加</w:t>
            </w:r>
            <w:proofErr w:type="gramStart"/>
            <w:r w:rsidR="00BB65FE" w:rsidRPr="00A64B6B">
              <w:rPr>
                <w:rFonts w:ascii="仿宋_GB2312" w:eastAsia="仿宋_GB2312" w:hAnsi="仿宋_GB2312" w:cs="仿宋_GB2312" w:hint="eastAsia"/>
                <w:sz w:val="24"/>
              </w:rPr>
              <w:t>费按照宁建建</w:t>
            </w:r>
            <w:proofErr w:type="gramEnd"/>
            <w:r w:rsidR="00BB65FE" w:rsidRPr="00A64B6B">
              <w:rPr>
                <w:rFonts w:ascii="仿宋_GB2312" w:eastAsia="仿宋_GB2312" w:hAnsi="仿宋_GB2312" w:cs="仿宋_GB2312" w:hint="eastAsia"/>
                <w:sz w:val="24"/>
              </w:rPr>
              <w:t>监字【2018】528号文规定计取</w:t>
            </w:r>
            <w:r w:rsidRPr="00BB65FE">
              <w:rPr>
                <w:rFonts w:ascii="仿宋" w:eastAsia="仿宋" w:hAnsi="仿宋" w:hint="eastAsia"/>
                <w:snapToGrid w:val="0"/>
                <w:sz w:val="24"/>
              </w:rPr>
              <w:t>；</w:t>
            </w:r>
          </w:p>
          <w:p w:rsidR="002B7824" w:rsidRDefault="00D91C9B">
            <w:pPr>
              <w:tabs>
                <w:tab w:val="left" w:pos="0"/>
                <w:tab w:val="left" w:pos="993"/>
                <w:tab w:val="left" w:pos="1134"/>
              </w:tabs>
              <w:adjustRightInd w:val="0"/>
              <w:snapToGrid w:val="0"/>
              <w:spacing w:line="380" w:lineRule="exact"/>
              <w:ind w:firstLineChars="200" w:firstLine="480"/>
              <w:rPr>
                <w:rFonts w:ascii="仿宋_GB2312" w:eastAsia="仿宋_GB2312"/>
                <w:snapToGrid w:val="0"/>
                <w:sz w:val="24"/>
              </w:rPr>
            </w:pPr>
            <w:r>
              <w:rPr>
                <w:rFonts w:ascii="仿宋_GB2312" w:eastAsia="仿宋_GB2312" w:hAnsi="仿宋_GB2312" w:cs="仿宋_GB2312" w:hint="eastAsia"/>
                <w:snapToGrid w:val="0"/>
                <w:sz w:val="24"/>
              </w:rPr>
              <w:t>（3）</w:t>
            </w:r>
            <w:r w:rsidR="00B24AA4">
              <w:rPr>
                <w:rFonts w:ascii="仿宋_GB2312" w:eastAsia="仿宋_GB2312" w:hAnsi="仿宋_GB2312" w:cs="仿宋_GB2312" w:hint="eastAsia"/>
                <w:snapToGrid w:val="0"/>
                <w:sz w:val="24"/>
              </w:rPr>
              <w:t>环境保护税</w:t>
            </w:r>
            <w:r>
              <w:rPr>
                <w:rFonts w:ascii="仿宋_GB2312" w:eastAsia="仿宋_GB2312" w:hAnsi="仿宋_GB2312" w:cs="仿宋_GB2312" w:hint="eastAsia"/>
                <w:snapToGrid w:val="0"/>
                <w:sz w:val="24"/>
              </w:rPr>
              <w:t>：按费用定额计取，凭缴费单据结算</w:t>
            </w:r>
            <w:r>
              <w:rPr>
                <w:rFonts w:ascii="仿宋_GB2312" w:eastAsia="仿宋_GB2312" w:hint="eastAsia"/>
                <w:snapToGrid w:val="0"/>
                <w:sz w:val="24"/>
              </w:rPr>
              <w:t>。</w:t>
            </w:r>
          </w:p>
          <w:p w:rsidR="002B7824" w:rsidRDefault="00D91C9B">
            <w:pPr>
              <w:tabs>
                <w:tab w:val="left" w:pos="0"/>
                <w:tab w:val="left" w:pos="993"/>
                <w:tab w:val="left" w:pos="1134"/>
              </w:tabs>
              <w:adjustRightInd w:val="0"/>
              <w:snapToGrid w:val="0"/>
              <w:spacing w:line="380" w:lineRule="exact"/>
              <w:ind w:firstLineChars="200" w:firstLine="480"/>
              <w:rPr>
                <w:rFonts w:ascii="仿宋_GB2312" w:eastAsia="仿宋_GB2312"/>
                <w:snapToGrid w:val="0"/>
                <w:sz w:val="24"/>
              </w:rPr>
            </w:pPr>
            <w:r>
              <w:rPr>
                <w:rFonts w:ascii="仿宋_GB2312" w:eastAsia="仿宋_GB2312" w:hint="eastAsia"/>
                <w:snapToGrid w:val="0"/>
                <w:sz w:val="24"/>
              </w:rPr>
              <w:t>（4）投标人可以计取</w:t>
            </w:r>
            <w:proofErr w:type="gramStart"/>
            <w:r>
              <w:rPr>
                <w:rFonts w:ascii="仿宋_GB2312" w:eastAsia="仿宋_GB2312" w:hint="eastAsia"/>
                <w:snapToGrid w:val="0"/>
                <w:sz w:val="24"/>
              </w:rPr>
              <w:t>甲供材</w:t>
            </w:r>
            <w:proofErr w:type="gramEnd"/>
            <w:r>
              <w:rPr>
                <w:rFonts w:ascii="仿宋_GB2312" w:eastAsia="仿宋_GB2312" w:hint="eastAsia"/>
                <w:snapToGrid w:val="0"/>
                <w:sz w:val="24"/>
              </w:rPr>
              <w:t>保管费，并计入报价。二次搬运费、所有材料运输上、下力费、保管费由承包人在投标报价内自行考虑。</w:t>
            </w:r>
            <w:proofErr w:type="gramStart"/>
            <w:r>
              <w:rPr>
                <w:rFonts w:ascii="仿宋_GB2312" w:eastAsia="仿宋_GB2312" w:hint="eastAsia"/>
                <w:snapToGrid w:val="0"/>
                <w:sz w:val="24"/>
              </w:rPr>
              <w:t>甲供材</w:t>
            </w:r>
            <w:proofErr w:type="gramEnd"/>
            <w:r>
              <w:rPr>
                <w:rFonts w:ascii="仿宋_GB2312" w:eastAsia="仿宋_GB2312" w:hint="eastAsia"/>
                <w:snapToGrid w:val="0"/>
                <w:sz w:val="24"/>
              </w:rPr>
              <w:t>上、</w:t>
            </w:r>
            <w:proofErr w:type="gramStart"/>
            <w:r>
              <w:rPr>
                <w:rFonts w:ascii="仿宋_GB2312" w:eastAsia="仿宋_GB2312" w:hint="eastAsia"/>
                <w:snapToGrid w:val="0"/>
                <w:sz w:val="24"/>
              </w:rPr>
              <w:t>下力费</w:t>
            </w:r>
            <w:proofErr w:type="gramEnd"/>
            <w:r>
              <w:rPr>
                <w:rFonts w:ascii="仿宋_GB2312" w:eastAsia="仿宋_GB2312" w:hint="eastAsia"/>
                <w:snapToGrid w:val="0"/>
                <w:sz w:val="24"/>
              </w:rPr>
              <w:t>由供应商承担，投标单位不需要考虑此费用。</w:t>
            </w:r>
          </w:p>
          <w:p w:rsidR="002B7824" w:rsidRDefault="00D91C9B">
            <w:pPr>
              <w:tabs>
                <w:tab w:val="left" w:pos="0"/>
                <w:tab w:val="left" w:pos="993"/>
                <w:tab w:val="left" w:pos="1134"/>
              </w:tabs>
              <w:adjustRightInd w:val="0"/>
              <w:snapToGrid w:val="0"/>
              <w:spacing w:line="380" w:lineRule="exact"/>
              <w:ind w:firstLineChars="200" w:firstLine="480"/>
              <w:rPr>
                <w:rFonts w:ascii="仿宋_GB2312" w:eastAsia="仿宋_GB2312"/>
                <w:snapToGrid w:val="0"/>
                <w:sz w:val="24"/>
              </w:rPr>
            </w:pPr>
            <w:r>
              <w:rPr>
                <w:rFonts w:ascii="仿宋_GB2312" w:eastAsia="仿宋_GB2312" w:hint="eastAsia"/>
                <w:snapToGrid w:val="0"/>
                <w:sz w:val="24"/>
              </w:rPr>
              <w:t xml:space="preserve">（5）为确保质量统一报价，工程量清单中发包人提供主要材料选用的品牌，未注明品牌的辅助材料，必须是信誉高、性能稳定、质量合格的国内产品，承包人根据定额及市场信息价自行报价，材料自报价必须考虑下力费、损耗费、保管费等费用一并计入报价，自报价材料必须在其各备注栏里注明材料的品牌、规格、质量等级，发包人今后不再调整。 </w:t>
            </w:r>
          </w:p>
          <w:p w:rsidR="002B7824" w:rsidRDefault="00D91C9B">
            <w:pPr>
              <w:tabs>
                <w:tab w:val="left" w:pos="0"/>
                <w:tab w:val="left" w:pos="993"/>
                <w:tab w:val="left" w:pos="1134"/>
              </w:tabs>
              <w:adjustRightInd w:val="0"/>
              <w:snapToGrid w:val="0"/>
              <w:spacing w:line="380" w:lineRule="exact"/>
              <w:ind w:firstLineChars="200" w:firstLine="480"/>
              <w:rPr>
                <w:rFonts w:ascii="仿宋_GB2312" w:eastAsia="仿宋_GB2312"/>
                <w:snapToGrid w:val="0"/>
                <w:sz w:val="24"/>
              </w:rPr>
            </w:pPr>
            <w:r>
              <w:rPr>
                <w:rFonts w:ascii="仿宋_GB2312" w:eastAsia="仿宋_GB2312" w:hint="eastAsia"/>
                <w:snapToGrid w:val="0"/>
                <w:sz w:val="24"/>
              </w:rPr>
              <w:t>（6）所有工程的检测费、安装调试费由投标人自行报价考虑在综合报价中。相关的手续及工作由中标人负责。</w:t>
            </w:r>
          </w:p>
          <w:p w:rsidR="002B7824" w:rsidRDefault="00D91C9B">
            <w:pPr>
              <w:tabs>
                <w:tab w:val="left" w:pos="0"/>
                <w:tab w:val="left" w:pos="993"/>
                <w:tab w:val="left" w:pos="1134"/>
              </w:tabs>
              <w:adjustRightInd w:val="0"/>
              <w:snapToGrid w:val="0"/>
              <w:spacing w:line="380" w:lineRule="exact"/>
              <w:ind w:firstLineChars="200" w:firstLine="480"/>
              <w:rPr>
                <w:rFonts w:ascii="仿宋_GB2312" w:eastAsia="仿宋_GB2312"/>
                <w:snapToGrid w:val="0"/>
                <w:sz w:val="24"/>
              </w:rPr>
            </w:pPr>
            <w:r>
              <w:rPr>
                <w:rFonts w:ascii="仿宋_GB2312" w:eastAsia="仿宋_GB2312" w:hint="eastAsia"/>
                <w:snapToGrid w:val="0"/>
                <w:sz w:val="24"/>
              </w:rPr>
              <w:t>（7）分包工程（如有）的接水、接电由总包单位提供接口并单独装表计量；费用由总包单</w:t>
            </w:r>
            <w:proofErr w:type="gramStart"/>
            <w:r>
              <w:rPr>
                <w:rFonts w:ascii="仿宋_GB2312" w:eastAsia="仿宋_GB2312" w:hint="eastAsia"/>
                <w:snapToGrid w:val="0"/>
                <w:sz w:val="24"/>
              </w:rPr>
              <w:t>位直接</w:t>
            </w:r>
            <w:proofErr w:type="gramEnd"/>
            <w:r>
              <w:rPr>
                <w:rFonts w:ascii="仿宋_GB2312" w:eastAsia="仿宋_GB2312" w:hint="eastAsia"/>
                <w:snapToGrid w:val="0"/>
                <w:sz w:val="24"/>
              </w:rPr>
              <w:t>与分包单位结算。</w:t>
            </w:r>
          </w:p>
          <w:p w:rsidR="002B7824" w:rsidRDefault="00D91C9B">
            <w:pPr>
              <w:tabs>
                <w:tab w:val="left" w:pos="0"/>
                <w:tab w:val="left" w:pos="993"/>
                <w:tab w:val="left" w:pos="1134"/>
              </w:tabs>
              <w:adjustRightInd w:val="0"/>
              <w:snapToGrid w:val="0"/>
              <w:spacing w:line="380" w:lineRule="exact"/>
              <w:ind w:firstLineChars="200" w:firstLine="480"/>
              <w:rPr>
                <w:rFonts w:ascii="仿宋_GB2312" w:eastAsia="仿宋_GB2312"/>
                <w:snapToGrid w:val="0"/>
                <w:sz w:val="24"/>
              </w:rPr>
            </w:pPr>
            <w:r>
              <w:rPr>
                <w:rFonts w:ascii="仿宋_GB2312" w:eastAsia="仿宋_GB2312" w:hint="eastAsia"/>
                <w:snapToGrid w:val="0"/>
                <w:sz w:val="24"/>
              </w:rPr>
              <w:t>（8）</w:t>
            </w:r>
            <w:proofErr w:type="gramStart"/>
            <w:r>
              <w:rPr>
                <w:rFonts w:ascii="仿宋_GB2312" w:eastAsia="仿宋_GB2312" w:hint="eastAsia"/>
                <w:snapToGrid w:val="0"/>
                <w:sz w:val="24"/>
              </w:rPr>
              <w:t>甲控乙购</w:t>
            </w:r>
            <w:proofErr w:type="gramEnd"/>
            <w:r>
              <w:rPr>
                <w:rFonts w:ascii="仿宋_GB2312" w:eastAsia="仿宋_GB2312" w:hint="eastAsia"/>
                <w:snapToGrid w:val="0"/>
                <w:sz w:val="24"/>
              </w:rPr>
              <w:t>材料（如有）的种类以及品牌范围参见工程量清单及清单编制说明中有关甲、</w:t>
            </w:r>
            <w:proofErr w:type="gramStart"/>
            <w:r>
              <w:rPr>
                <w:rFonts w:ascii="仿宋_GB2312" w:eastAsia="仿宋_GB2312" w:hint="eastAsia"/>
                <w:snapToGrid w:val="0"/>
                <w:sz w:val="24"/>
              </w:rPr>
              <w:t>乙供材</w:t>
            </w:r>
            <w:proofErr w:type="gramEnd"/>
            <w:r>
              <w:rPr>
                <w:rFonts w:ascii="仿宋_GB2312" w:eastAsia="仿宋_GB2312" w:hint="eastAsia"/>
                <w:snapToGrid w:val="0"/>
                <w:sz w:val="24"/>
              </w:rPr>
              <w:t>部分：a、</w:t>
            </w:r>
            <w:proofErr w:type="gramStart"/>
            <w:r>
              <w:rPr>
                <w:rFonts w:ascii="仿宋_GB2312" w:eastAsia="仿宋_GB2312" w:hint="eastAsia"/>
                <w:snapToGrid w:val="0"/>
                <w:sz w:val="24"/>
              </w:rPr>
              <w:t>甲供材</w:t>
            </w:r>
            <w:proofErr w:type="gramEnd"/>
            <w:r>
              <w:rPr>
                <w:rFonts w:ascii="仿宋_GB2312" w:eastAsia="仿宋_GB2312" w:hint="eastAsia"/>
                <w:snapToGrid w:val="0"/>
                <w:sz w:val="24"/>
              </w:rPr>
              <w:t>（如有）及暂定</w:t>
            </w:r>
            <w:proofErr w:type="gramStart"/>
            <w:r>
              <w:rPr>
                <w:rFonts w:ascii="仿宋_GB2312" w:eastAsia="仿宋_GB2312" w:hint="eastAsia"/>
                <w:snapToGrid w:val="0"/>
                <w:sz w:val="24"/>
              </w:rPr>
              <w:t>价材料</w:t>
            </w:r>
            <w:proofErr w:type="gramEnd"/>
            <w:r>
              <w:rPr>
                <w:rFonts w:ascii="仿宋_GB2312" w:eastAsia="仿宋_GB2312" w:hint="eastAsia"/>
                <w:snapToGrid w:val="0"/>
                <w:sz w:val="24"/>
              </w:rPr>
              <w:t>具体种类、价格详见工程量清单，暂定</w:t>
            </w:r>
            <w:proofErr w:type="gramStart"/>
            <w:r>
              <w:rPr>
                <w:rFonts w:ascii="仿宋_GB2312" w:eastAsia="仿宋_GB2312" w:hint="eastAsia"/>
                <w:snapToGrid w:val="0"/>
                <w:sz w:val="24"/>
              </w:rPr>
              <w:t>价材料</w:t>
            </w:r>
            <w:proofErr w:type="gramEnd"/>
            <w:r>
              <w:rPr>
                <w:rFonts w:ascii="仿宋_GB2312" w:eastAsia="仿宋_GB2312" w:hint="eastAsia"/>
                <w:snapToGrid w:val="0"/>
                <w:sz w:val="24"/>
              </w:rPr>
              <w:t>投标报价时统一按暂定价，若达到国家招标限额，将另行招标发包。</w:t>
            </w:r>
            <w:proofErr w:type="gramStart"/>
            <w:r>
              <w:rPr>
                <w:rFonts w:ascii="仿宋_GB2312" w:eastAsia="仿宋_GB2312" w:hint="eastAsia"/>
                <w:snapToGrid w:val="0"/>
                <w:sz w:val="24"/>
              </w:rPr>
              <w:t>乙供材料</w:t>
            </w:r>
            <w:proofErr w:type="gramEnd"/>
            <w:r>
              <w:rPr>
                <w:rFonts w:ascii="仿宋_GB2312" w:eastAsia="仿宋_GB2312" w:hint="eastAsia"/>
                <w:snapToGrid w:val="0"/>
                <w:sz w:val="24"/>
              </w:rPr>
              <w:t>由各投标单位自行报价，但投标人在报价时应充分考虑政策性调整、建材市场风险等因素。b、本工程由承包人采购的材料单价一经投标确认，结算时不作调整。材料采购进场时确认与投标报价承诺一致，报监理及发包人确认质量后方可进场。材料的试验、检测费用应包括在材料单价或其他费用中，所有费用均由承包人承担。</w:t>
            </w:r>
          </w:p>
          <w:p w:rsidR="002B7824" w:rsidRDefault="00D91C9B">
            <w:pPr>
              <w:tabs>
                <w:tab w:val="left" w:pos="0"/>
                <w:tab w:val="left" w:pos="993"/>
                <w:tab w:val="left" w:pos="1134"/>
              </w:tabs>
              <w:adjustRightInd w:val="0"/>
              <w:snapToGrid w:val="0"/>
              <w:spacing w:line="380" w:lineRule="exact"/>
              <w:ind w:firstLineChars="200" w:firstLine="480"/>
              <w:rPr>
                <w:rFonts w:ascii="仿宋_GB2312" w:eastAsia="仿宋_GB2312"/>
                <w:snapToGrid w:val="0"/>
                <w:sz w:val="24"/>
              </w:rPr>
            </w:pPr>
            <w:r>
              <w:rPr>
                <w:rFonts w:ascii="仿宋_GB2312" w:eastAsia="仿宋_GB2312" w:hint="eastAsia"/>
                <w:snapToGrid w:val="0"/>
                <w:sz w:val="24"/>
              </w:rPr>
              <w:t>（9）投标人提供的纸质投标文件中，在</w:t>
            </w:r>
            <w:r w:rsidR="005E4DB2">
              <w:rPr>
                <w:rFonts w:ascii="仿宋_GB2312" w:eastAsia="仿宋_GB2312" w:hint="eastAsia"/>
                <w:snapToGrid w:val="0"/>
                <w:sz w:val="24"/>
              </w:rPr>
              <w:t>工程量清单报价封面上加盖投标人单位公章及法定代表人签字盖章</w:t>
            </w:r>
            <w:r>
              <w:rPr>
                <w:rFonts w:ascii="仿宋_GB2312" w:eastAsia="仿宋_GB2312" w:hint="eastAsia"/>
                <w:snapToGrid w:val="0"/>
                <w:sz w:val="24"/>
              </w:rPr>
              <w:t>。</w:t>
            </w:r>
          </w:p>
          <w:p w:rsidR="002B7824" w:rsidRDefault="00D91C9B">
            <w:pPr>
              <w:tabs>
                <w:tab w:val="left" w:pos="0"/>
                <w:tab w:val="left" w:pos="993"/>
                <w:tab w:val="left" w:pos="1134"/>
              </w:tabs>
              <w:adjustRightInd w:val="0"/>
              <w:snapToGrid w:val="0"/>
              <w:spacing w:line="380" w:lineRule="exact"/>
              <w:ind w:firstLineChars="200" w:firstLine="480"/>
              <w:rPr>
                <w:rFonts w:ascii="仿宋_GB2312" w:eastAsia="仿宋_GB2312"/>
                <w:snapToGrid w:val="0"/>
                <w:sz w:val="24"/>
              </w:rPr>
            </w:pPr>
            <w:r>
              <w:rPr>
                <w:rFonts w:ascii="仿宋_GB2312" w:eastAsia="仿宋_GB2312" w:hint="eastAsia"/>
                <w:snapToGrid w:val="0"/>
                <w:sz w:val="24"/>
              </w:rPr>
              <w:t>（10）投标人的投标报价应为工程施工所需的显在和隐含的一切费用，因而投标人应根据招标人提供的施工图纸及工程量清单仔细计算并自行考虑风险系数进行投标报价。</w:t>
            </w:r>
          </w:p>
          <w:p w:rsidR="002B7824" w:rsidRDefault="00D91C9B">
            <w:pPr>
              <w:tabs>
                <w:tab w:val="left" w:pos="0"/>
                <w:tab w:val="left" w:pos="993"/>
                <w:tab w:val="left" w:pos="1134"/>
              </w:tabs>
              <w:adjustRightInd w:val="0"/>
              <w:snapToGrid w:val="0"/>
              <w:spacing w:line="380" w:lineRule="exact"/>
              <w:ind w:firstLineChars="200" w:firstLine="480"/>
              <w:rPr>
                <w:rFonts w:ascii="仿宋_GB2312" w:eastAsia="仿宋_GB2312"/>
                <w:snapToGrid w:val="0"/>
                <w:sz w:val="24"/>
              </w:rPr>
            </w:pPr>
            <w:r>
              <w:rPr>
                <w:rFonts w:ascii="仿宋_GB2312" w:eastAsia="仿宋_GB2312" w:hint="eastAsia"/>
                <w:snapToGrid w:val="0"/>
                <w:sz w:val="24"/>
              </w:rPr>
              <w:t>（11）施工组织设计中采用的技术措施须满足国家现行规范、规程及技术要求。</w:t>
            </w:r>
          </w:p>
          <w:p w:rsidR="002B7824" w:rsidRDefault="00D91C9B">
            <w:pPr>
              <w:tabs>
                <w:tab w:val="left" w:pos="0"/>
                <w:tab w:val="left" w:pos="993"/>
                <w:tab w:val="left" w:pos="1134"/>
              </w:tabs>
              <w:adjustRightInd w:val="0"/>
              <w:snapToGrid w:val="0"/>
              <w:spacing w:line="380" w:lineRule="exact"/>
              <w:ind w:firstLineChars="200" w:firstLine="480"/>
              <w:rPr>
                <w:rFonts w:ascii="仿宋_GB2312" w:eastAsia="仿宋_GB2312"/>
                <w:snapToGrid w:val="0"/>
                <w:sz w:val="24"/>
              </w:rPr>
            </w:pPr>
            <w:r>
              <w:rPr>
                <w:rFonts w:ascii="仿宋_GB2312" w:eastAsia="仿宋_GB2312" w:hint="eastAsia"/>
                <w:snapToGrid w:val="0"/>
                <w:sz w:val="24"/>
              </w:rPr>
              <w:t>（12）</w:t>
            </w:r>
            <w:r w:rsidR="005E6D6D">
              <w:rPr>
                <w:rFonts w:ascii="仿宋_GB2312" w:eastAsia="仿宋_GB2312" w:hint="eastAsia"/>
                <w:snapToGrid w:val="0"/>
                <w:sz w:val="24"/>
              </w:rPr>
              <w:t>根据《江苏</w:t>
            </w:r>
            <w:r w:rsidR="005E6D6D" w:rsidRPr="00C5659B">
              <w:rPr>
                <w:rFonts w:ascii="仿宋_GB2312" w:eastAsia="仿宋_GB2312" w:hint="eastAsia"/>
                <w:snapToGrid w:val="0"/>
                <w:sz w:val="24"/>
              </w:rPr>
              <w:t>省住房城乡建设厅关于调整建设工程计价增值税税率的通知</w:t>
            </w:r>
            <w:r w:rsidR="005E6D6D">
              <w:rPr>
                <w:rFonts w:ascii="仿宋_GB2312" w:eastAsia="仿宋_GB2312" w:hint="eastAsia"/>
                <w:snapToGrid w:val="0"/>
                <w:sz w:val="24"/>
              </w:rPr>
              <w:t>》</w:t>
            </w:r>
            <w:r w:rsidR="005E6D6D">
              <w:rPr>
                <w:rFonts w:ascii="仿宋_GB2312" w:eastAsia="仿宋_GB2312" w:hint="eastAsia"/>
                <w:snapToGrid w:val="0"/>
                <w:sz w:val="24"/>
              </w:rPr>
              <w:lastRenderedPageBreak/>
              <w:t>（苏</w:t>
            </w:r>
            <w:proofErr w:type="gramStart"/>
            <w:r w:rsidR="005E6D6D">
              <w:rPr>
                <w:rFonts w:ascii="仿宋_GB2312" w:eastAsia="仿宋_GB2312" w:hint="eastAsia"/>
                <w:snapToGrid w:val="0"/>
                <w:sz w:val="24"/>
              </w:rPr>
              <w:t>建函价〔2019〕</w:t>
            </w:r>
            <w:proofErr w:type="gramEnd"/>
            <w:r w:rsidR="005E6D6D">
              <w:rPr>
                <w:rFonts w:ascii="仿宋_GB2312" w:eastAsia="仿宋_GB2312" w:hint="eastAsia"/>
                <w:snapToGrid w:val="0"/>
                <w:sz w:val="24"/>
              </w:rPr>
              <w:t>178号）,本工程项目按</w:t>
            </w:r>
            <w:r w:rsidR="005E6D6D">
              <w:rPr>
                <w:rFonts w:ascii="仿宋_GB2312" w:eastAsia="仿宋_GB2312" w:hAnsi="仿宋_GB2312" w:cs="仿宋_GB2312" w:hint="eastAsia"/>
                <w:sz w:val="24"/>
              </w:rPr>
              <w:t>一般计税方法</w:t>
            </w:r>
            <w:r w:rsidR="005E6D6D">
              <w:rPr>
                <w:rFonts w:ascii="仿宋_GB2312" w:eastAsia="仿宋_GB2312" w:hint="eastAsia"/>
                <w:snapToGrid w:val="0"/>
                <w:sz w:val="24"/>
              </w:rPr>
              <w:t>。</w:t>
            </w:r>
          </w:p>
          <w:p w:rsidR="002B7824" w:rsidRDefault="00D91C9B">
            <w:pPr>
              <w:tabs>
                <w:tab w:val="left" w:pos="720"/>
              </w:tabs>
              <w:spacing w:line="312" w:lineRule="auto"/>
              <w:rPr>
                <w:rFonts w:ascii="仿宋" w:eastAsia="仿宋" w:hAnsi="仿宋" w:cs="仿宋"/>
                <w:color w:val="000000"/>
                <w:sz w:val="24"/>
                <w:szCs w:val="24"/>
              </w:rPr>
            </w:pPr>
            <w:r>
              <w:rPr>
                <w:rFonts w:ascii="仿宋" w:eastAsia="仿宋" w:hAnsi="仿宋" w:cs="仿宋" w:hint="eastAsia"/>
                <w:color w:val="000000"/>
                <w:sz w:val="24"/>
                <w:szCs w:val="24"/>
              </w:rPr>
              <w:t>五、其它相关说明：</w:t>
            </w:r>
          </w:p>
          <w:p w:rsidR="002B7824" w:rsidRDefault="00D91C9B">
            <w:pPr>
              <w:tabs>
                <w:tab w:val="left" w:pos="720"/>
              </w:tabs>
              <w:spacing w:line="312" w:lineRule="auto"/>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1）按照提供的“工程量清单”电子文档填写工程量清单，本项目工程量清单为固化格式，不得擅自修改工程量清单项目名称、计量单位、工程数量或运算定义等引起错误。投标价大写金额与清单汇总表中投标价小写金额应该一致（准确到单位.元）。</w:t>
            </w:r>
          </w:p>
          <w:p w:rsidR="002B7824" w:rsidRDefault="00D91C9B">
            <w:pPr>
              <w:tabs>
                <w:tab w:val="left" w:pos="720"/>
              </w:tabs>
              <w:spacing w:line="312" w:lineRule="auto"/>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（2）报价中考虑完成本工程分部分项清单工程内容所需发生的全部模板、支架、脚手架费用，此项费用不单独列项。</w:t>
            </w:r>
          </w:p>
          <w:p w:rsidR="002B7824" w:rsidRDefault="00D91C9B">
            <w:pPr>
              <w:tabs>
                <w:tab w:val="left" w:pos="720"/>
              </w:tabs>
              <w:spacing w:line="312" w:lineRule="auto"/>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（3）报价清单中</w:t>
            </w:r>
            <w:r>
              <w:rPr>
                <w:rFonts w:ascii="仿宋" w:eastAsia="仿宋" w:hAnsi="仿宋" w:cs="仿宋"/>
                <w:color w:val="000000"/>
                <w:sz w:val="24"/>
                <w:szCs w:val="24"/>
              </w:rPr>
              <w:t>管理费、利润</w:t>
            </w:r>
            <w:r>
              <w:rPr>
                <w:rFonts w:ascii="仿宋" w:eastAsia="仿宋" w:hAnsi="仿宋" w:cs="仿宋" w:hint="eastAsia"/>
                <w:color w:val="000000"/>
                <w:sz w:val="24"/>
                <w:szCs w:val="24"/>
              </w:rPr>
              <w:t>按安装二类工程计取；人工费</w:t>
            </w:r>
            <w:proofErr w:type="gramStart"/>
            <w:r>
              <w:rPr>
                <w:rFonts w:ascii="仿宋" w:eastAsia="仿宋" w:hAnsi="仿宋" w:cs="仿宋" w:hint="eastAsia"/>
                <w:color w:val="000000"/>
                <w:sz w:val="24"/>
                <w:szCs w:val="24"/>
              </w:rPr>
              <w:t>按苏建函价</w:t>
            </w:r>
            <w:proofErr w:type="gramEnd"/>
            <w:r>
              <w:rPr>
                <w:rFonts w:ascii="仿宋" w:eastAsia="仿宋" w:hAnsi="仿宋" w:cs="仿宋" w:hint="eastAsia"/>
                <w:color w:val="000000"/>
                <w:sz w:val="24"/>
                <w:szCs w:val="24"/>
              </w:rPr>
              <w:t>[2018]156号文计取。</w:t>
            </w:r>
          </w:p>
          <w:p w:rsidR="002B7824" w:rsidRDefault="002B7824" w:rsidP="007A04AD">
            <w:pPr>
              <w:spacing w:line="312" w:lineRule="auto"/>
              <w:ind w:firstLineChars="200" w:firstLine="480"/>
              <w:rPr>
                <w:rFonts w:ascii="仿宋" w:eastAsia="仿宋" w:hAnsi="仿宋" w:cs="仿宋"/>
                <w:color w:val="000000"/>
                <w:sz w:val="24"/>
                <w:szCs w:val="24"/>
              </w:rPr>
            </w:pPr>
          </w:p>
        </w:tc>
      </w:tr>
    </w:tbl>
    <w:p w:rsidR="002B7824" w:rsidRDefault="002B7824"/>
    <w:sectPr w:rsidR="002B7824" w:rsidSect="002B78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818" w:rsidRDefault="00017818" w:rsidP="00396604">
      <w:r>
        <w:separator/>
      </w:r>
    </w:p>
  </w:endnote>
  <w:endnote w:type="continuationSeparator" w:id="0">
    <w:p w:rsidR="00017818" w:rsidRDefault="00017818" w:rsidP="00396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818" w:rsidRDefault="00017818" w:rsidP="00396604">
      <w:r>
        <w:separator/>
      </w:r>
    </w:p>
  </w:footnote>
  <w:footnote w:type="continuationSeparator" w:id="0">
    <w:p w:rsidR="00017818" w:rsidRDefault="00017818" w:rsidP="003966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98200B"/>
    <w:multiLevelType w:val="singleLevel"/>
    <w:tmpl w:val="5398200B"/>
    <w:lvl w:ilvl="0">
      <w:start w:val="1"/>
      <w:numFmt w:val="decimal"/>
      <w:suff w:val="nothing"/>
      <w:lvlText w:val="%1、"/>
      <w:lvlJc w:val="left"/>
    </w:lvl>
  </w:abstractNum>
  <w:abstractNum w:abstractNumId="1">
    <w:nsid w:val="59CC8704"/>
    <w:multiLevelType w:val="singleLevel"/>
    <w:tmpl w:val="59CC8704"/>
    <w:lvl w:ilvl="0">
      <w:start w:val="4"/>
      <w:numFmt w:val="chineseCounting"/>
      <w:suff w:val="nothing"/>
      <w:lvlText w:val="%1、"/>
      <w:lvlJc w:val="left"/>
    </w:lvl>
  </w:abstractNum>
  <w:abstractNum w:abstractNumId="2">
    <w:nsid w:val="59CC87D0"/>
    <w:multiLevelType w:val="singleLevel"/>
    <w:tmpl w:val="59CC87D0"/>
    <w:lvl w:ilvl="0">
      <w:start w:val="1"/>
      <w:numFmt w:val="decimal"/>
      <w:suff w:val="nothing"/>
      <w:lvlText w:val="（%1）"/>
      <w:lvlJc w:val="left"/>
    </w:lvl>
  </w:abstractNum>
  <w:num w:numId="1">
    <w:abstractNumId w:val="0"/>
    <w:lvlOverride w:ilvl="0">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761908FD"/>
    <w:rsid w:val="00017818"/>
    <w:rsid w:val="000B5A66"/>
    <w:rsid w:val="00106CB7"/>
    <w:rsid w:val="00164E7A"/>
    <w:rsid w:val="001F537F"/>
    <w:rsid w:val="00202252"/>
    <w:rsid w:val="00270E53"/>
    <w:rsid w:val="002B7824"/>
    <w:rsid w:val="0032589A"/>
    <w:rsid w:val="0036538A"/>
    <w:rsid w:val="00396604"/>
    <w:rsid w:val="004C2DB2"/>
    <w:rsid w:val="004D57C9"/>
    <w:rsid w:val="00515957"/>
    <w:rsid w:val="00521E2D"/>
    <w:rsid w:val="005D06C0"/>
    <w:rsid w:val="005E4DB2"/>
    <w:rsid w:val="005E6D6D"/>
    <w:rsid w:val="005F149F"/>
    <w:rsid w:val="006B2238"/>
    <w:rsid w:val="00721253"/>
    <w:rsid w:val="007934BE"/>
    <w:rsid w:val="007A04AD"/>
    <w:rsid w:val="007C72A4"/>
    <w:rsid w:val="00817148"/>
    <w:rsid w:val="008173D9"/>
    <w:rsid w:val="00866665"/>
    <w:rsid w:val="0089447C"/>
    <w:rsid w:val="009621FF"/>
    <w:rsid w:val="009F0CF5"/>
    <w:rsid w:val="00A10279"/>
    <w:rsid w:val="00A5738A"/>
    <w:rsid w:val="00A64B6B"/>
    <w:rsid w:val="00A9623E"/>
    <w:rsid w:val="00AC188F"/>
    <w:rsid w:val="00AE63BD"/>
    <w:rsid w:val="00B00055"/>
    <w:rsid w:val="00B166EB"/>
    <w:rsid w:val="00B24AA4"/>
    <w:rsid w:val="00B32AD2"/>
    <w:rsid w:val="00B33BEC"/>
    <w:rsid w:val="00BB51DA"/>
    <w:rsid w:val="00BB65FE"/>
    <w:rsid w:val="00BE2E63"/>
    <w:rsid w:val="00BE52EE"/>
    <w:rsid w:val="00C122FD"/>
    <w:rsid w:val="00D46A10"/>
    <w:rsid w:val="00D91C9B"/>
    <w:rsid w:val="00F31864"/>
    <w:rsid w:val="00F71060"/>
    <w:rsid w:val="00FB74D6"/>
    <w:rsid w:val="00FE1D1D"/>
    <w:rsid w:val="00FF0207"/>
    <w:rsid w:val="03EE2AA6"/>
    <w:rsid w:val="066235DB"/>
    <w:rsid w:val="0B304193"/>
    <w:rsid w:val="2BE627CD"/>
    <w:rsid w:val="2C9F7953"/>
    <w:rsid w:val="319C6938"/>
    <w:rsid w:val="34926243"/>
    <w:rsid w:val="584640DC"/>
    <w:rsid w:val="6181639A"/>
    <w:rsid w:val="761908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7824"/>
    <w:pPr>
      <w:widowControl w:val="0"/>
      <w:jc w:val="both"/>
    </w:pPr>
    <w:rPr>
      <w:rFonts w:ascii="Calibri" w:eastAsia="宋体" w:hAnsi="Calibri" w:cs="Times New Roman"/>
      <w:kern w:val="2"/>
      <w:sz w:val="21"/>
      <w:szCs w:val="22"/>
    </w:rPr>
  </w:style>
  <w:style w:type="paragraph" w:styleId="3">
    <w:name w:val="heading 3"/>
    <w:aliases w:val="h3,3rd level,Heading 3 - old,H3,Subtopic,BOD 0,第二层条,l3,CT,Level 3 Topic Heading,sect1.2.3,level_3,PIM 3,Level 3 Head,Heading,sect1.2.31,sect1.2.32,sect1.2.311,sect1.2.33,sect1.2.312,Bold Head,bh,cb,prop3,3heading,Heading 31,1.1.1 Heading 3,3,2h,小标题"/>
    <w:basedOn w:val="a"/>
    <w:next w:val="a"/>
    <w:link w:val="3Char"/>
    <w:qFormat/>
    <w:rsid w:val="00F31864"/>
    <w:pPr>
      <w:keepNext/>
      <w:keepLines/>
      <w:spacing w:before="260" w:after="260" w:line="416" w:lineRule="auto"/>
      <w:outlineLvl w:val="2"/>
    </w:pPr>
    <w:rPr>
      <w:rFonts w:ascii="Times New Roman"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2B7824"/>
    <w:pPr>
      <w:spacing w:after="120" w:line="360" w:lineRule="auto"/>
    </w:pPr>
    <w:rPr>
      <w:szCs w:val="20"/>
    </w:rPr>
  </w:style>
  <w:style w:type="paragraph" w:styleId="a4">
    <w:name w:val="footer"/>
    <w:basedOn w:val="a"/>
    <w:link w:val="Char"/>
    <w:rsid w:val="002B7824"/>
    <w:pPr>
      <w:tabs>
        <w:tab w:val="center" w:pos="4153"/>
        <w:tab w:val="right" w:pos="8306"/>
      </w:tabs>
      <w:snapToGrid w:val="0"/>
      <w:jc w:val="left"/>
    </w:pPr>
    <w:rPr>
      <w:sz w:val="18"/>
      <w:szCs w:val="18"/>
    </w:rPr>
  </w:style>
  <w:style w:type="paragraph" w:styleId="a5">
    <w:name w:val="header"/>
    <w:basedOn w:val="a"/>
    <w:link w:val="Char0"/>
    <w:rsid w:val="002B7824"/>
    <w:pPr>
      <w:pBdr>
        <w:bottom w:val="single" w:sz="6" w:space="1" w:color="auto"/>
      </w:pBdr>
      <w:tabs>
        <w:tab w:val="center" w:pos="4153"/>
        <w:tab w:val="right" w:pos="8306"/>
      </w:tabs>
      <w:snapToGrid w:val="0"/>
      <w:jc w:val="center"/>
    </w:pPr>
    <w:rPr>
      <w:sz w:val="18"/>
      <w:szCs w:val="18"/>
    </w:rPr>
  </w:style>
  <w:style w:type="character" w:styleId="a6">
    <w:name w:val="Hyperlink"/>
    <w:basedOn w:val="a0"/>
    <w:qFormat/>
    <w:rsid w:val="002B7824"/>
    <w:rPr>
      <w:color w:val="0563C1" w:themeColor="hyperlink"/>
      <w:u w:val="single"/>
    </w:rPr>
  </w:style>
  <w:style w:type="paragraph" w:customStyle="1" w:styleId="1">
    <w:name w:val="列出段落1"/>
    <w:basedOn w:val="a"/>
    <w:uiPriority w:val="99"/>
    <w:unhideWhenUsed/>
    <w:qFormat/>
    <w:rsid w:val="002B7824"/>
    <w:pPr>
      <w:ind w:firstLineChars="200" w:firstLine="420"/>
    </w:pPr>
  </w:style>
  <w:style w:type="paragraph" w:customStyle="1" w:styleId="015">
    <w:name w:val="样式 正文文字 + 小四 段后: 0 磅 行距: 1.5 倍行距"/>
    <w:basedOn w:val="a3"/>
    <w:qFormat/>
    <w:rsid w:val="002B7824"/>
    <w:pPr>
      <w:spacing w:after="0"/>
      <w:ind w:firstLineChars="200" w:firstLine="480"/>
    </w:pPr>
    <w:rPr>
      <w:rFonts w:cs="宋体"/>
      <w:sz w:val="24"/>
    </w:rPr>
  </w:style>
  <w:style w:type="character" w:customStyle="1" w:styleId="Char0">
    <w:name w:val="页眉 Char"/>
    <w:basedOn w:val="a0"/>
    <w:link w:val="a5"/>
    <w:rsid w:val="002B7824"/>
    <w:rPr>
      <w:rFonts w:ascii="Calibri" w:eastAsia="宋体" w:hAnsi="Calibri" w:cs="Times New Roman"/>
      <w:kern w:val="2"/>
      <w:sz w:val="18"/>
      <w:szCs w:val="18"/>
    </w:rPr>
  </w:style>
  <w:style w:type="character" w:customStyle="1" w:styleId="Char">
    <w:name w:val="页脚 Char"/>
    <w:basedOn w:val="a0"/>
    <w:link w:val="a4"/>
    <w:rsid w:val="002B7824"/>
    <w:rPr>
      <w:rFonts w:ascii="Calibri" w:eastAsia="宋体" w:hAnsi="Calibri" w:cs="Times New Roman"/>
      <w:kern w:val="2"/>
      <w:sz w:val="18"/>
      <w:szCs w:val="18"/>
    </w:rPr>
  </w:style>
  <w:style w:type="paragraph" w:styleId="a7">
    <w:name w:val="List Paragraph"/>
    <w:basedOn w:val="a"/>
    <w:uiPriority w:val="34"/>
    <w:unhideWhenUsed/>
    <w:qFormat/>
    <w:rsid w:val="002B7824"/>
    <w:pPr>
      <w:ind w:firstLineChars="200" w:firstLine="420"/>
    </w:pPr>
    <w:rPr>
      <w:rFonts w:ascii="Times New Roman" w:hAnsi="Times New Roman"/>
      <w:szCs w:val="24"/>
    </w:rPr>
  </w:style>
  <w:style w:type="character" w:customStyle="1" w:styleId="3Char">
    <w:name w:val="标题 3 Char"/>
    <w:aliases w:val="h3 Char,3rd level Char,Heading 3 - old Char,H3 Char,Subtopic Char,BOD 0 Char,第二层条 Char,l3 Char,CT Char,Level 3 Topic Heading Char,sect1.2.3 Char,level_3 Char,PIM 3 Char,Level 3 Head Char,Heading Char,sect1.2.31 Char,sect1.2.32 Char,bh Char"/>
    <w:basedOn w:val="a0"/>
    <w:link w:val="3"/>
    <w:rsid w:val="00F31864"/>
    <w:rPr>
      <w:rFonts w:ascii="Times New Roman" w:eastAsia="宋体" w:hAnsi="Times New Roman" w:cs="Times New Roman"/>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1</Pages>
  <Words>303</Words>
  <Characters>1732</Characters>
  <Application>Microsoft Office Word</Application>
  <DocSecurity>0</DocSecurity>
  <Lines>14</Lines>
  <Paragraphs>4</Paragraphs>
  <ScaleCrop>false</ScaleCrop>
  <Company>微软中国</Company>
  <LinksUpToDate>false</LinksUpToDate>
  <CharactersWithSpaces>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188</cp:revision>
  <dcterms:created xsi:type="dcterms:W3CDTF">2017-09-28T01:46:00Z</dcterms:created>
  <dcterms:modified xsi:type="dcterms:W3CDTF">2020-12-30T05:22:00Z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