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824" w:rsidRDefault="00D91C9B">
      <w:pPr>
        <w:spacing w:line="560" w:lineRule="exact"/>
        <w:jc w:val="center"/>
        <w:rPr>
          <w:rFonts w:ascii="仿宋" w:eastAsia="仿宋" w:hAnsi="仿宋" w:cs="仿宋"/>
          <w:b/>
          <w:color w:val="000000"/>
          <w:sz w:val="30"/>
          <w:szCs w:val="30"/>
        </w:rPr>
      </w:pPr>
      <w:r>
        <w:rPr>
          <w:rFonts w:ascii="仿宋" w:eastAsia="仿宋" w:hAnsi="仿宋" w:cs="仿宋" w:hint="eastAsia"/>
          <w:b/>
          <w:color w:val="000000"/>
          <w:sz w:val="30"/>
          <w:szCs w:val="30"/>
        </w:rPr>
        <w:t>清单编制说明</w:t>
      </w:r>
    </w:p>
    <w:p w:rsidR="002B7824" w:rsidRDefault="002B7824">
      <w:pPr>
        <w:spacing w:line="560" w:lineRule="exact"/>
        <w:jc w:val="center"/>
        <w:rPr>
          <w:rFonts w:ascii="仿宋" w:eastAsia="仿宋" w:hAnsi="仿宋" w:cs="仿宋"/>
          <w:b/>
          <w:color w:val="000000"/>
          <w:sz w:val="30"/>
          <w:szCs w:val="30"/>
        </w:rPr>
      </w:pPr>
    </w:p>
    <w:tbl>
      <w:tblPr>
        <w:tblW w:w="9048" w:type="dxa"/>
        <w:tblInd w:w="5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048"/>
      </w:tblGrid>
      <w:tr w:rsidR="002B7824">
        <w:trPr>
          <w:trHeight w:val="12341"/>
        </w:trPr>
        <w:tc>
          <w:tcPr>
            <w:tcW w:w="9048" w:type="dxa"/>
            <w:tcBorders>
              <w:top w:val="single" w:sz="4" w:space="0" w:color="auto"/>
              <w:left w:val="single" w:sz="4" w:space="0" w:color="auto"/>
              <w:bottom w:val="single" w:sz="4" w:space="0" w:color="auto"/>
              <w:right w:val="single" w:sz="4" w:space="0" w:color="auto"/>
            </w:tcBorders>
          </w:tcPr>
          <w:p w:rsidR="002B7824" w:rsidRDefault="00D91C9B">
            <w:pPr>
              <w:pStyle w:val="1"/>
              <w:spacing w:line="312" w:lineRule="auto"/>
              <w:ind w:firstLineChars="0" w:firstLine="0"/>
              <w:rPr>
                <w:rFonts w:ascii="仿宋" w:eastAsia="仿宋" w:hAnsi="仿宋" w:cs="仿宋"/>
                <w:color w:val="000000"/>
                <w:sz w:val="24"/>
                <w:szCs w:val="24"/>
              </w:rPr>
            </w:pPr>
            <w:r>
              <w:rPr>
                <w:rFonts w:ascii="仿宋" w:eastAsia="仿宋" w:hAnsi="仿宋" w:cs="仿宋" w:hint="eastAsia"/>
                <w:color w:val="000000"/>
                <w:sz w:val="24"/>
                <w:szCs w:val="24"/>
              </w:rPr>
              <w:t>一、项目概况：</w:t>
            </w:r>
          </w:p>
          <w:p w:rsidR="00F31864" w:rsidRPr="00F31864" w:rsidRDefault="00F31864" w:rsidP="00F31864">
            <w:pPr>
              <w:pStyle w:val="015"/>
              <w:rPr>
                <w:rFonts w:ascii="仿宋" w:eastAsia="仿宋" w:hAnsi="仿宋" w:cs="Times New Roman"/>
                <w:snapToGrid w:val="0"/>
                <w:szCs w:val="24"/>
              </w:rPr>
            </w:pPr>
            <w:bookmarkStart w:id="0" w:name="_Toc317524305"/>
            <w:bookmarkStart w:id="1" w:name="_Toc318899477"/>
            <w:bookmarkStart w:id="2" w:name="_Toc320955955"/>
            <w:bookmarkStart w:id="3" w:name="_Toc393750802"/>
            <w:bookmarkStart w:id="4" w:name="_Toc393750863"/>
            <w:bookmarkStart w:id="5" w:name="_Toc479932730"/>
            <w:bookmarkStart w:id="6" w:name="_Toc393754347"/>
            <w:bookmarkStart w:id="7" w:name="_Toc317524304"/>
            <w:bookmarkStart w:id="8" w:name="_Toc320955954"/>
            <w:bookmarkStart w:id="9" w:name="_Toc318899476"/>
            <w:r w:rsidRPr="00F31864">
              <w:rPr>
                <w:rFonts w:ascii="仿宋" w:eastAsia="仿宋" w:hAnsi="仿宋" w:cs="Times New Roman" w:hint="eastAsia"/>
                <w:snapToGrid w:val="0"/>
                <w:szCs w:val="24"/>
              </w:rPr>
              <w:t>南京大学</w:t>
            </w:r>
            <w:proofErr w:type="gramStart"/>
            <w:r w:rsidRPr="00F31864">
              <w:rPr>
                <w:rFonts w:ascii="仿宋" w:eastAsia="仿宋" w:hAnsi="仿宋" w:cs="Times New Roman" w:hint="eastAsia"/>
                <w:snapToGrid w:val="0"/>
                <w:szCs w:val="24"/>
              </w:rPr>
              <w:t>仙</w:t>
            </w:r>
            <w:proofErr w:type="gramEnd"/>
            <w:r w:rsidRPr="00F31864">
              <w:rPr>
                <w:rFonts w:ascii="仿宋" w:eastAsia="仿宋" w:hAnsi="仿宋" w:cs="Times New Roman" w:hint="eastAsia"/>
                <w:snapToGrid w:val="0"/>
                <w:szCs w:val="24"/>
              </w:rPr>
              <w:t>林校区</w:t>
            </w:r>
            <w:r w:rsidR="00A70437">
              <w:rPr>
                <w:rFonts w:ascii="仿宋" w:eastAsia="仿宋" w:hAnsi="仿宋" w:cs="Times New Roman" w:hint="eastAsia"/>
                <w:snapToGrid w:val="0"/>
                <w:szCs w:val="24"/>
              </w:rPr>
              <w:t>工学楼周边无监控</w:t>
            </w:r>
            <w:r w:rsidRPr="00F31864">
              <w:rPr>
                <w:rFonts w:ascii="仿宋" w:eastAsia="仿宋" w:hAnsi="仿宋" w:cs="Times New Roman" w:hint="eastAsia"/>
                <w:snapToGrid w:val="0"/>
                <w:szCs w:val="24"/>
              </w:rPr>
              <w:t>，</w:t>
            </w:r>
            <w:r w:rsidR="00A70437">
              <w:rPr>
                <w:rFonts w:ascii="仿宋" w:eastAsia="仿宋" w:hAnsi="仿宋" w:cs="Times New Roman" w:hint="eastAsia"/>
                <w:snapToGrid w:val="0"/>
                <w:szCs w:val="24"/>
              </w:rPr>
              <w:t>拟在周边增加监控，</w:t>
            </w:r>
            <w:r w:rsidR="004225E7" w:rsidRPr="00F31864">
              <w:rPr>
                <w:rFonts w:ascii="仿宋" w:eastAsia="仿宋" w:hAnsi="仿宋" w:cs="Times New Roman" w:hint="eastAsia"/>
                <w:snapToGrid w:val="0"/>
                <w:szCs w:val="24"/>
              </w:rPr>
              <w:t>完善对</w:t>
            </w:r>
            <w:r w:rsidR="004225E7">
              <w:rPr>
                <w:rFonts w:ascii="仿宋" w:eastAsia="仿宋" w:hAnsi="仿宋" w:cs="Times New Roman" w:hint="eastAsia"/>
                <w:snapToGrid w:val="0"/>
                <w:szCs w:val="24"/>
              </w:rPr>
              <w:t>工学院周边</w:t>
            </w:r>
            <w:r w:rsidR="004225E7" w:rsidRPr="00F31864">
              <w:rPr>
                <w:rFonts w:ascii="仿宋" w:eastAsia="仿宋" w:hAnsi="仿宋" w:cs="Times New Roman" w:hint="eastAsia"/>
                <w:snapToGrid w:val="0"/>
                <w:szCs w:val="24"/>
              </w:rPr>
              <w:t>重要监控区域的视频监控覆盖</w:t>
            </w:r>
            <w:r w:rsidR="004225E7">
              <w:rPr>
                <w:rFonts w:ascii="仿宋" w:eastAsia="仿宋" w:hAnsi="仿宋" w:cs="Times New Roman" w:hint="eastAsia"/>
                <w:snapToGrid w:val="0"/>
                <w:szCs w:val="24"/>
              </w:rPr>
              <w:t>，</w:t>
            </w:r>
            <w:r w:rsidR="00A70437">
              <w:rPr>
                <w:rFonts w:ascii="仿宋" w:eastAsia="仿宋" w:hAnsi="仿宋" w:cs="Times New Roman" w:hint="eastAsia"/>
                <w:snapToGrid w:val="0"/>
                <w:szCs w:val="24"/>
              </w:rPr>
              <w:t>将视频信号接入保卫处安防系统，由110报警中心统一管理</w:t>
            </w:r>
            <w:r w:rsidRPr="00F31864">
              <w:rPr>
                <w:rFonts w:ascii="仿宋" w:eastAsia="仿宋" w:hAnsi="仿宋" w:cs="Times New Roman" w:hint="eastAsia"/>
                <w:snapToGrid w:val="0"/>
                <w:szCs w:val="24"/>
              </w:rPr>
              <w:t>。</w:t>
            </w:r>
          </w:p>
          <w:bookmarkEnd w:id="0"/>
          <w:bookmarkEnd w:id="1"/>
          <w:bookmarkEnd w:id="2"/>
          <w:bookmarkEnd w:id="3"/>
          <w:bookmarkEnd w:id="4"/>
          <w:bookmarkEnd w:id="5"/>
          <w:bookmarkEnd w:id="6"/>
          <w:bookmarkEnd w:id="7"/>
          <w:bookmarkEnd w:id="8"/>
          <w:bookmarkEnd w:id="9"/>
          <w:p w:rsidR="002B7824" w:rsidRDefault="00D91C9B">
            <w:pPr>
              <w:spacing w:line="312" w:lineRule="auto"/>
              <w:rPr>
                <w:rFonts w:ascii="仿宋" w:eastAsia="仿宋" w:hAnsi="仿宋" w:cs="仿宋"/>
                <w:color w:val="000000"/>
                <w:sz w:val="24"/>
                <w:szCs w:val="24"/>
              </w:rPr>
            </w:pPr>
            <w:r>
              <w:rPr>
                <w:rFonts w:ascii="仿宋" w:eastAsia="仿宋" w:hAnsi="仿宋" w:cs="仿宋" w:hint="eastAsia"/>
                <w:color w:val="000000"/>
                <w:sz w:val="24"/>
                <w:szCs w:val="24"/>
              </w:rPr>
              <w:t>二、工程量清单编制依据：</w:t>
            </w:r>
          </w:p>
          <w:p w:rsidR="002B7824" w:rsidRDefault="00D91C9B">
            <w:pPr>
              <w:tabs>
                <w:tab w:val="left" w:pos="0"/>
                <w:tab w:val="left" w:pos="993"/>
                <w:tab w:val="left" w:pos="1134"/>
              </w:tabs>
              <w:adjustRightInd w:val="0"/>
              <w:snapToGrid w:val="0"/>
              <w:spacing w:line="380" w:lineRule="exact"/>
              <w:ind w:firstLineChars="200" w:firstLine="480"/>
              <w:rPr>
                <w:rFonts w:ascii="仿宋" w:eastAsia="仿宋" w:hAnsi="仿宋" w:cs="仿宋"/>
                <w:snapToGrid w:val="0"/>
                <w:sz w:val="24"/>
                <w:szCs w:val="24"/>
              </w:rPr>
            </w:pPr>
            <w:r>
              <w:rPr>
                <w:rFonts w:ascii="仿宋" w:eastAsia="仿宋" w:hAnsi="仿宋" w:cs="仿宋" w:hint="eastAsia"/>
                <w:color w:val="000000"/>
                <w:sz w:val="24"/>
                <w:szCs w:val="24"/>
              </w:rPr>
              <w:t>（1）</w:t>
            </w:r>
            <w:r>
              <w:rPr>
                <w:rFonts w:ascii="仿宋" w:eastAsia="仿宋" w:hAnsi="仿宋" w:cs="仿宋" w:hint="eastAsia"/>
                <w:snapToGrid w:val="0"/>
                <w:sz w:val="24"/>
                <w:szCs w:val="24"/>
              </w:rPr>
              <w:t>《江苏省房屋修缮工程计价表》（2009年版）；</w:t>
            </w:r>
          </w:p>
          <w:p w:rsidR="002B7824" w:rsidRDefault="00D91C9B">
            <w:pPr>
              <w:tabs>
                <w:tab w:val="left" w:pos="0"/>
                <w:tab w:val="left" w:pos="993"/>
                <w:tab w:val="left" w:pos="1134"/>
              </w:tabs>
              <w:adjustRightInd w:val="0"/>
              <w:snapToGrid w:val="0"/>
              <w:spacing w:line="380" w:lineRule="exact"/>
              <w:ind w:firstLineChars="200" w:firstLine="480"/>
              <w:rPr>
                <w:rFonts w:ascii="仿宋" w:eastAsia="仿宋" w:hAnsi="仿宋" w:cs="仿宋"/>
                <w:snapToGrid w:val="0"/>
                <w:sz w:val="24"/>
                <w:szCs w:val="24"/>
              </w:rPr>
            </w:pPr>
            <w:r>
              <w:rPr>
                <w:rFonts w:ascii="仿宋" w:eastAsia="仿宋" w:hAnsi="仿宋" w:cs="仿宋" w:hint="eastAsia"/>
                <w:snapToGrid w:val="0"/>
                <w:sz w:val="24"/>
                <w:szCs w:val="24"/>
              </w:rPr>
              <w:t>（2）《江苏省建筑与装饰工程计价表（2014）》；</w:t>
            </w:r>
          </w:p>
          <w:p w:rsidR="002B7824" w:rsidRDefault="00D91C9B">
            <w:pPr>
              <w:tabs>
                <w:tab w:val="left" w:pos="0"/>
                <w:tab w:val="left" w:pos="993"/>
                <w:tab w:val="left" w:pos="1134"/>
              </w:tabs>
              <w:adjustRightInd w:val="0"/>
              <w:snapToGrid w:val="0"/>
              <w:spacing w:line="380" w:lineRule="exact"/>
              <w:ind w:firstLineChars="200" w:firstLine="480"/>
              <w:rPr>
                <w:rFonts w:ascii="仿宋" w:eastAsia="仿宋" w:hAnsi="仿宋" w:cs="仿宋"/>
                <w:snapToGrid w:val="0"/>
                <w:sz w:val="24"/>
                <w:szCs w:val="24"/>
              </w:rPr>
            </w:pPr>
            <w:r>
              <w:rPr>
                <w:rFonts w:ascii="仿宋" w:eastAsia="仿宋" w:hAnsi="仿宋" w:cs="仿宋" w:hint="eastAsia"/>
                <w:snapToGrid w:val="0"/>
                <w:sz w:val="24"/>
                <w:szCs w:val="24"/>
              </w:rPr>
              <w:t>（3）《江苏省安装工程计价表（2014）》等江苏省相关工程计价表及《江苏省建设工程工程量清单计价项目指引》；</w:t>
            </w:r>
          </w:p>
          <w:p w:rsidR="002B7824" w:rsidRDefault="00D91C9B">
            <w:pPr>
              <w:tabs>
                <w:tab w:val="left" w:pos="0"/>
                <w:tab w:val="left" w:pos="993"/>
                <w:tab w:val="left" w:pos="1134"/>
              </w:tabs>
              <w:adjustRightInd w:val="0"/>
              <w:snapToGrid w:val="0"/>
              <w:spacing w:line="380" w:lineRule="exact"/>
              <w:ind w:firstLineChars="200" w:firstLine="480"/>
              <w:rPr>
                <w:rFonts w:ascii="仿宋" w:eastAsia="仿宋" w:hAnsi="仿宋" w:cs="仿宋"/>
                <w:snapToGrid w:val="0"/>
                <w:sz w:val="24"/>
                <w:szCs w:val="24"/>
              </w:rPr>
            </w:pPr>
            <w:r>
              <w:rPr>
                <w:rFonts w:ascii="仿宋" w:eastAsia="仿宋" w:hAnsi="仿宋" w:cs="仿宋" w:hint="eastAsia"/>
                <w:snapToGrid w:val="0"/>
                <w:sz w:val="24"/>
                <w:szCs w:val="24"/>
              </w:rPr>
              <w:t>（4）工程取费执行《江苏省建设工程费用定额》（2014年版）及相关的江苏省、南京市关于工程造价方面等文件；</w:t>
            </w:r>
          </w:p>
          <w:p w:rsidR="002B7824" w:rsidRDefault="00D91C9B">
            <w:pPr>
              <w:tabs>
                <w:tab w:val="left" w:pos="0"/>
                <w:tab w:val="left" w:pos="993"/>
                <w:tab w:val="left" w:pos="1134"/>
              </w:tabs>
              <w:adjustRightInd w:val="0"/>
              <w:snapToGrid w:val="0"/>
              <w:spacing w:line="380" w:lineRule="exact"/>
              <w:ind w:firstLineChars="200" w:firstLine="480"/>
              <w:rPr>
                <w:rFonts w:ascii="仿宋" w:eastAsia="仿宋" w:hAnsi="仿宋" w:cs="仿宋"/>
                <w:snapToGrid w:val="0"/>
                <w:sz w:val="24"/>
                <w:szCs w:val="24"/>
              </w:rPr>
            </w:pPr>
            <w:r>
              <w:rPr>
                <w:rFonts w:ascii="仿宋" w:eastAsia="仿宋" w:hAnsi="仿宋" w:cs="仿宋" w:hint="eastAsia"/>
                <w:snapToGrid w:val="0"/>
                <w:sz w:val="24"/>
                <w:szCs w:val="24"/>
              </w:rPr>
              <w:t>（5）报价参考执行投标截止日前省市建委造价有关文件，投标截止日后的省市建委造价文件不予执行。</w:t>
            </w:r>
          </w:p>
          <w:p w:rsidR="002B7824" w:rsidRDefault="00D91C9B">
            <w:pPr>
              <w:tabs>
                <w:tab w:val="left" w:pos="720"/>
              </w:tabs>
              <w:spacing w:line="312" w:lineRule="auto"/>
              <w:rPr>
                <w:rFonts w:ascii="仿宋" w:eastAsia="仿宋" w:hAnsi="仿宋" w:cs="仿宋"/>
                <w:color w:val="000000"/>
                <w:sz w:val="24"/>
                <w:szCs w:val="24"/>
              </w:rPr>
            </w:pPr>
            <w:r>
              <w:rPr>
                <w:rFonts w:ascii="仿宋" w:eastAsia="仿宋" w:hAnsi="仿宋" w:cs="仿宋" w:hint="eastAsia"/>
                <w:color w:val="000000"/>
                <w:sz w:val="24"/>
                <w:szCs w:val="24"/>
              </w:rPr>
              <w:t>三、工程量清单说明</w:t>
            </w:r>
          </w:p>
          <w:p w:rsidR="002B7824" w:rsidRDefault="00D91C9B">
            <w:pPr>
              <w:tabs>
                <w:tab w:val="left" w:pos="720"/>
              </w:tabs>
              <w:spacing w:line="312"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本工程量清单是根据招标文件中包括图纸以及有关工程量清单的国家标准、行业标准、合同条款中约定的工程量计算规则编制。约定计量规则中没有的子目，其工程</w:t>
            </w:r>
            <w:proofErr w:type="gramStart"/>
            <w:r>
              <w:rPr>
                <w:rFonts w:ascii="仿宋" w:eastAsia="仿宋" w:hAnsi="仿宋" w:cs="仿宋" w:hint="eastAsia"/>
                <w:color w:val="000000"/>
                <w:sz w:val="24"/>
                <w:szCs w:val="24"/>
              </w:rPr>
              <w:t>量按照</w:t>
            </w:r>
            <w:proofErr w:type="gramEnd"/>
            <w:r>
              <w:rPr>
                <w:rFonts w:ascii="仿宋" w:eastAsia="仿宋" w:hAnsi="仿宋" w:cs="仿宋" w:hint="eastAsia"/>
                <w:color w:val="000000"/>
                <w:sz w:val="24"/>
                <w:szCs w:val="24"/>
              </w:rPr>
              <w:t>有合同约束力的图纸所标示尺寸的</w:t>
            </w:r>
            <w:proofErr w:type="gramStart"/>
            <w:r>
              <w:rPr>
                <w:rFonts w:ascii="仿宋" w:eastAsia="仿宋" w:hAnsi="仿宋" w:cs="仿宋" w:hint="eastAsia"/>
                <w:color w:val="000000"/>
                <w:sz w:val="24"/>
                <w:szCs w:val="24"/>
              </w:rPr>
              <w:t>理论净量计算</w:t>
            </w:r>
            <w:proofErr w:type="gramEnd"/>
            <w:r>
              <w:rPr>
                <w:rFonts w:ascii="仿宋" w:eastAsia="仿宋" w:hAnsi="仿宋" w:cs="仿宋" w:hint="eastAsia"/>
                <w:color w:val="000000"/>
                <w:sz w:val="24"/>
                <w:szCs w:val="24"/>
              </w:rPr>
              <w:t>。计量采用中华人民共和国法定计量单位。</w:t>
            </w:r>
          </w:p>
          <w:p w:rsidR="002B7824" w:rsidRDefault="00D91C9B">
            <w:pPr>
              <w:numPr>
                <w:ilvl w:val="0"/>
                <w:numId w:val="2"/>
              </w:numPr>
              <w:tabs>
                <w:tab w:val="left" w:pos="720"/>
              </w:tabs>
              <w:spacing w:line="312" w:lineRule="auto"/>
              <w:rPr>
                <w:rFonts w:ascii="仿宋" w:eastAsia="仿宋" w:hAnsi="仿宋" w:cs="仿宋"/>
                <w:color w:val="000000"/>
                <w:sz w:val="24"/>
                <w:szCs w:val="24"/>
              </w:rPr>
            </w:pPr>
            <w:bookmarkStart w:id="10" w:name="_Toc179632791"/>
            <w:bookmarkStart w:id="11" w:name="_Toc152042556"/>
            <w:bookmarkStart w:id="12" w:name="_Toc144974836"/>
            <w:bookmarkStart w:id="13" w:name="_Toc152045774"/>
            <w:r>
              <w:rPr>
                <w:rFonts w:ascii="仿宋" w:eastAsia="仿宋" w:hAnsi="仿宋" w:cs="仿宋" w:hint="eastAsia"/>
                <w:color w:val="000000"/>
                <w:sz w:val="24"/>
                <w:szCs w:val="24"/>
              </w:rPr>
              <w:t>投标报价说明</w:t>
            </w:r>
            <w:bookmarkEnd w:id="10"/>
            <w:bookmarkEnd w:id="11"/>
            <w:bookmarkEnd w:id="12"/>
            <w:bookmarkEnd w:id="13"/>
          </w:p>
          <w:p w:rsidR="002B7824" w:rsidRDefault="00D91C9B">
            <w:pPr>
              <w:numPr>
                <w:ilvl w:val="0"/>
                <w:numId w:val="3"/>
              </w:numPr>
              <w:tabs>
                <w:tab w:val="left" w:pos="0"/>
                <w:tab w:val="left" w:pos="993"/>
                <w:tab w:val="left" w:pos="1134"/>
              </w:tabs>
              <w:adjustRightInd w:val="0"/>
              <w:snapToGrid w:val="0"/>
              <w:spacing w:line="380" w:lineRule="exact"/>
              <w:ind w:firstLineChars="200" w:firstLine="480"/>
              <w:rPr>
                <w:rFonts w:ascii="仿宋_GB2312" w:eastAsia="仿宋_GB2312"/>
                <w:snapToGrid w:val="0"/>
                <w:sz w:val="24"/>
              </w:rPr>
            </w:pPr>
            <w:r>
              <w:rPr>
                <w:rFonts w:ascii="仿宋_GB2312" w:eastAsia="仿宋_GB2312" w:hAnsi="仿宋_GB2312" w:cs="仿宋_GB2312" w:hint="eastAsia"/>
                <w:snapToGrid w:val="0"/>
                <w:sz w:val="24"/>
              </w:rPr>
              <w:t>人工工资参照江苏省建设工程人工工资指导价自主报价，其它费用参照省市建委发布的有关文件及政策规定等执行，报价参考执行投标截止日前省建设厅、市建委造价有关文件</w:t>
            </w:r>
            <w:r>
              <w:rPr>
                <w:rFonts w:ascii="仿宋_GB2312" w:eastAsia="仿宋_GB2312" w:hint="eastAsia"/>
                <w:snapToGrid w:val="0"/>
                <w:sz w:val="24"/>
              </w:rPr>
              <w:t>。</w:t>
            </w:r>
          </w:p>
          <w:p w:rsidR="002B7824" w:rsidRPr="00BB65FE" w:rsidRDefault="00D91C9B">
            <w:pPr>
              <w:tabs>
                <w:tab w:val="left" w:pos="0"/>
                <w:tab w:val="left" w:pos="993"/>
                <w:tab w:val="left" w:pos="1134"/>
              </w:tabs>
              <w:adjustRightInd w:val="0"/>
              <w:snapToGrid w:val="0"/>
              <w:spacing w:line="380" w:lineRule="exact"/>
              <w:ind w:firstLineChars="200" w:firstLine="480"/>
              <w:rPr>
                <w:rFonts w:ascii="仿宋" w:eastAsia="仿宋" w:hAnsi="仿宋"/>
                <w:snapToGrid w:val="0"/>
                <w:sz w:val="24"/>
              </w:rPr>
            </w:pPr>
            <w:r>
              <w:rPr>
                <w:rFonts w:ascii="仿宋_GB2312" w:eastAsia="仿宋_GB2312" w:hint="eastAsia"/>
                <w:snapToGrid w:val="0"/>
                <w:sz w:val="24"/>
              </w:rPr>
              <w:t>（2）</w:t>
            </w:r>
            <w:proofErr w:type="gramStart"/>
            <w:r>
              <w:rPr>
                <w:rFonts w:ascii="仿宋_GB2312" w:eastAsia="仿宋_GB2312" w:hint="eastAsia"/>
                <w:snapToGrid w:val="0"/>
                <w:sz w:val="24"/>
              </w:rPr>
              <w:t>规</w:t>
            </w:r>
            <w:proofErr w:type="gramEnd"/>
            <w:r>
              <w:rPr>
                <w:rFonts w:ascii="仿宋_GB2312" w:eastAsia="仿宋_GB2312" w:hint="eastAsia"/>
                <w:snapToGrid w:val="0"/>
                <w:sz w:val="24"/>
              </w:rPr>
              <w:t>费、税金按江苏省、南京市现行计价文件的规定计取，其中，安全文明</w:t>
            </w:r>
            <w:r w:rsidRPr="00A64B6B">
              <w:rPr>
                <w:rFonts w:ascii="仿宋_GB2312" w:eastAsia="仿宋_GB2312" w:hAnsi="仿宋_GB2312" w:cs="仿宋_GB2312" w:hint="eastAsia"/>
                <w:sz w:val="24"/>
              </w:rPr>
              <w:t>施工</w:t>
            </w:r>
            <w:r>
              <w:rPr>
                <w:rFonts w:ascii="仿宋_GB2312" w:eastAsia="仿宋_GB2312" w:hint="eastAsia"/>
                <w:snapToGrid w:val="0"/>
                <w:sz w:val="24"/>
              </w:rPr>
              <w:t>措施费仅计取基本费，</w:t>
            </w:r>
            <w:r w:rsidR="00BB65FE" w:rsidRPr="009B0E07">
              <w:rPr>
                <w:rFonts w:ascii="仿宋_GB2312" w:eastAsia="仿宋_GB2312" w:hAnsi="仿宋_GB2312" w:cs="仿宋_GB2312" w:hint="eastAsia"/>
                <w:sz w:val="24"/>
                <w:highlight w:val="yellow"/>
              </w:rPr>
              <w:t>扬尘污染防治增加</w:t>
            </w:r>
            <w:proofErr w:type="gramStart"/>
            <w:r w:rsidR="00BB65FE" w:rsidRPr="009B0E07">
              <w:rPr>
                <w:rFonts w:ascii="仿宋_GB2312" w:eastAsia="仿宋_GB2312" w:hAnsi="仿宋_GB2312" w:cs="仿宋_GB2312" w:hint="eastAsia"/>
                <w:sz w:val="24"/>
                <w:highlight w:val="yellow"/>
              </w:rPr>
              <w:t>费按照宁建建</w:t>
            </w:r>
            <w:proofErr w:type="gramEnd"/>
            <w:r w:rsidR="00BB65FE" w:rsidRPr="009B0E07">
              <w:rPr>
                <w:rFonts w:ascii="仿宋_GB2312" w:eastAsia="仿宋_GB2312" w:hAnsi="仿宋_GB2312" w:cs="仿宋_GB2312" w:hint="eastAsia"/>
                <w:sz w:val="24"/>
                <w:highlight w:val="yellow"/>
              </w:rPr>
              <w:t>监字【2018】528号文规定计取</w:t>
            </w:r>
            <w:r w:rsidRPr="009B0E07">
              <w:rPr>
                <w:rFonts w:ascii="仿宋" w:eastAsia="仿宋" w:hAnsi="仿宋" w:hint="eastAsia"/>
                <w:snapToGrid w:val="0"/>
                <w:sz w:val="24"/>
                <w:highlight w:val="yellow"/>
              </w:rPr>
              <w:t>；</w:t>
            </w:r>
          </w:p>
          <w:p w:rsidR="002B7824" w:rsidRDefault="00D91C9B">
            <w:pPr>
              <w:tabs>
                <w:tab w:val="left" w:pos="0"/>
                <w:tab w:val="left" w:pos="993"/>
                <w:tab w:val="left" w:pos="1134"/>
              </w:tabs>
              <w:adjustRightInd w:val="0"/>
              <w:snapToGrid w:val="0"/>
              <w:spacing w:line="380" w:lineRule="exact"/>
              <w:ind w:firstLineChars="200" w:firstLine="480"/>
              <w:rPr>
                <w:rFonts w:ascii="仿宋_GB2312" w:eastAsia="仿宋_GB2312"/>
                <w:snapToGrid w:val="0"/>
                <w:sz w:val="24"/>
              </w:rPr>
            </w:pPr>
            <w:r w:rsidRPr="009B0E07">
              <w:rPr>
                <w:rFonts w:ascii="仿宋_GB2312" w:eastAsia="仿宋_GB2312" w:hAnsi="仿宋_GB2312" w:cs="仿宋_GB2312" w:hint="eastAsia"/>
                <w:snapToGrid w:val="0"/>
                <w:sz w:val="24"/>
                <w:highlight w:val="yellow"/>
              </w:rPr>
              <w:t>（3）</w:t>
            </w:r>
            <w:r w:rsidR="00B24AA4" w:rsidRPr="009B0E07">
              <w:rPr>
                <w:rFonts w:ascii="仿宋_GB2312" w:eastAsia="仿宋_GB2312" w:hAnsi="仿宋_GB2312" w:cs="仿宋_GB2312" w:hint="eastAsia"/>
                <w:snapToGrid w:val="0"/>
                <w:sz w:val="24"/>
                <w:highlight w:val="yellow"/>
              </w:rPr>
              <w:t>环境保护税</w:t>
            </w:r>
            <w:r w:rsidRPr="009B0E07">
              <w:rPr>
                <w:rFonts w:ascii="仿宋_GB2312" w:eastAsia="仿宋_GB2312" w:hAnsi="仿宋_GB2312" w:cs="仿宋_GB2312" w:hint="eastAsia"/>
                <w:snapToGrid w:val="0"/>
                <w:sz w:val="24"/>
                <w:highlight w:val="yellow"/>
              </w:rPr>
              <w:t>：按费用定额计取，凭缴费单据结算</w:t>
            </w:r>
            <w:r w:rsidRPr="009B0E07">
              <w:rPr>
                <w:rFonts w:ascii="仿宋_GB2312" w:eastAsia="仿宋_GB2312" w:hint="eastAsia"/>
                <w:snapToGrid w:val="0"/>
                <w:sz w:val="24"/>
                <w:highlight w:val="yellow"/>
              </w:rPr>
              <w:t>。</w:t>
            </w:r>
          </w:p>
          <w:p w:rsidR="002B7824" w:rsidRDefault="00D91C9B">
            <w:pPr>
              <w:tabs>
                <w:tab w:val="left" w:pos="0"/>
                <w:tab w:val="left" w:pos="993"/>
                <w:tab w:val="left" w:pos="1134"/>
              </w:tabs>
              <w:adjustRightInd w:val="0"/>
              <w:snapToGrid w:val="0"/>
              <w:spacing w:line="380" w:lineRule="exact"/>
              <w:ind w:firstLineChars="200" w:firstLine="480"/>
              <w:rPr>
                <w:rFonts w:ascii="仿宋_GB2312" w:eastAsia="仿宋_GB2312"/>
                <w:snapToGrid w:val="0"/>
                <w:sz w:val="24"/>
              </w:rPr>
            </w:pPr>
            <w:r>
              <w:rPr>
                <w:rFonts w:ascii="仿宋_GB2312" w:eastAsia="仿宋_GB2312" w:hint="eastAsia"/>
                <w:snapToGrid w:val="0"/>
                <w:sz w:val="24"/>
              </w:rPr>
              <w:t>（4）投标人可以计取</w:t>
            </w:r>
            <w:proofErr w:type="gramStart"/>
            <w:r>
              <w:rPr>
                <w:rFonts w:ascii="仿宋_GB2312" w:eastAsia="仿宋_GB2312" w:hint="eastAsia"/>
                <w:snapToGrid w:val="0"/>
                <w:sz w:val="24"/>
              </w:rPr>
              <w:t>甲供材</w:t>
            </w:r>
            <w:proofErr w:type="gramEnd"/>
            <w:r>
              <w:rPr>
                <w:rFonts w:ascii="仿宋_GB2312" w:eastAsia="仿宋_GB2312" w:hint="eastAsia"/>
                <w:snapToGrid w:val="0"/>
                <w:sz w:val="24"/>
              </w:rPr>
              <w:t>保管费，并计入报价。二次搬运费、所有材料运输上、下力费、保管费由承包人在投标报价内自行考虑。</w:t>
            </w:r>
            <w:proofErr w:type="gramStart"/>
            <w:r>
              <w:rPr>
                <w:rFonts w:ascii="仿宋_GB2312" w:eastAsia="仿宋_GB2312" w:hint="eastAsia"/>
                <w:snapToGrid w:val="0"/>
                <w:sz w:val="24"/>
              </w:rPr>
              <w:t>甲供材</w:t>
            </w:r>
            <w:proofErr w:type="gramEnd"/>
            <w:r>
              <w:rPr>
                <w:rFonts w:ascii="仿宋_GB2312" w:eastAsia="仿宋_GB2312" w:hint="eastAsia"/>
                <w:snapToGrid w:val="0"/>
                <w:sz w:val="24"/>
              </w:rPr>
              <w:t>上、</w:t>
            </w:r>
            <w:proofErr w:type="gramStart"/>
            <w:r>
              <w:rPr>
                <w:rFonts w:ascii="仿宋_GB2312" w:eastAsia="仿宋_GB2312" w:hint="eastAsia"/>
                <w:snapToGrid w:val="0"/>
                <w:sz w:val="24"/>
              </w:rPr>
              <w:t>下力费</w:t>
            </w:r>
            <w:proofErr w:type="gramEnd"/>
            <w:r>
              <w:rPr>
                <w:rFonts w:ascii="仿宋_GB2312" w:eastAsia="仿宋_GB2312" w:hint="eastAsia"/>
                <w:snapToGrid w:val="0"/>
                <w:sz w:val="24"/>
              </w:rPr>
              <w:t>由供应商承担，投标单位不需要考虑此费用。</w:t>
            </w:r>
          </w:p>
          <w:p w:rsidR="002B7824" w:rsidRDefault="00D91C9B">
            <w:pPr>
              <w:tabs>
                <w:tab w:val="left" w:pos="0"/>
                <w:tab w:val="left" w:pos="993"/>
                <w:tab w:val="left" w:pos="1134"/>
              </w:tabs>
              <w:adjustRightInd w:val="0"/>
              <w:snapToGrid w:val="0"/>
              <w:spacing w:line="380" w:lineRule="exact"/>
              <w:ind w:firstLineChars="200" w:firstLine="480"/>
              <w:rPr>
                <w:rFonts w:ascii="仿宋_GB2312" w:eastAsia="仿宋_GB2312"/>
                <w:snapToGrid w:val="0"/>
                <w:sz w:val="24"/>
              </w:rPr>
            </w:pPr>
            <w:r>
              <w:rPr>
                <w:rFonts w:ascii="仿宋_GB2312" w:eastAsia="仿宋_GB2312" w:hint="eastAsia"/>
                <w:snapToGrid w:val="0"/>
                <w:sz w:val="24"/>
              </w:rPr>
              <w:t>（5）为确保质量统一报价，工程量清单中发包人提供主要材料选用的品牌，未注明品牌的辅助材料，必须是信誉高、性能稳定、质量合格的国内产品，承包人根据定额及市场信息价自行报价，材料自报价必须考虑下力费、损耗费、保管费等费用一</w:t>
            </w:r>
            <w:r>
              <w:rPr>
                <w:rFonts w:ascii="仿宋_GB2312" w:eastAsia="仿宋_GB2312" w:hint="eastAsia"/>
                <w:snapToGrid w:val="0"/>
                <w:sz w:val="24"/>
              </w:rPr>
              <w:lastRenderedPageBreak/>
              <w:t xml:space="preserve">并计入报价，自报价材料必须在其各备注栏里注明材料的品牌、规格、质量等级，发包人今后不再调整。 </w:t>
            </w:r>
          </w:p>
          <w:p w:rsidR="002B7824" w:rsidRDefault="00D91C9B">
            <w:pPr>
              <w:tabs>
                <w:tab w:val="left" w:pos="0"/>
                <w:tab w:val="left" w:pos="993"/>
                <w:tab w:val="left" w:pos="1134"/>
              </w:tabs>
              <w:adjustRightInd w:val="0"/>
              <w:snapToGrid w:val="0"/>
              <w:spacing w:line="380" w:lineRule="exact"/>
              <w:ind w:firstLineChars="200" w:firstLine="480"/>
              <w:rPr>
                <w:rFonts w:ascii="仿宋_GB2312" w:eastAsia="仿宋_GB2312"/>
                <w:snapToGrid w:val="0"/>
                <w:sz w:val="24"/>
              </w:rPr>
            </w:pPr>
            <w:r>
              <w:rPr>
                <w:rFonts w:ascii="仿宋_GB2312" w:eastAsia="仿宋_GB2312" w:hint="eastAsia"/>
                <w:snapToGrid w:val="0"/>
                <w:sz w:val="24"/>
              </w:rPr>
              <w:t>（6）所有工程的检测费、安装调试费由投标人自行报价考虑在综合报价中。相关的手续及工作由中标人负责。</w:t>
            </w:r>
          </w:p>
          <w:p w:rsidR="002B7824" w:rsidRDefault="00D91C9B">
            <w:pPr>
              <w:tabs>
                <w:tab w:val="left" w:pos="0"/>
                <w:tab w:val="left" w:pos="993"/>
                <w:tab w:val="left" w:pos="1134"/>
              </w:tabs>
              <w:adjustRightInd w:val="0"/>
              <w:snapToGrid w:val="0"/>
              <w:spacing w:line="380" w:lineRule="exact"/>
              <w:ind w:firstLineChars="200" w:firstLine="480"/>
              <w:rPr>
                <w:rFonts w:ascii="仿宋_GB2312" w:eastAsia="仿宋_GB2312"/>
                <w:snapToGrid w:val="0"/>
                <w:sz w:val="24"/>
              </w:rPr>
            </w:pPr>
            <w:r>
              <w:rPr>
                <w:rFonts w:ascii="仿宋_GB2312" w:eastAsia="仿宋_GB2312" w:hint="eastAsia"/>
                <w:snapToGrid w:val="0"/>
                <w:sz w:val="24"/>
              </w:rPr>
              <w:t>（7）分包工程（如有）的接水、接电由总包单位提供接口并单独装表计量；费用由总包单</w:t>
            </w:r>
            <w:proofErr w:type="gramStart"/>
            <w:r>
              <w:rPr>
                <w:rFonts w:ascii="仿宋_GB2312" w:eastAsia="仿宋_GB2312" w:hint="eastAsia"/>
                <w:snapToGrid w:val="0"/>
                <w:sz w:val="24"/>
              </w:rPr>
              <w:t>位直接</w:t>
            </w:r>
            <w:proofErr w:type="gramEnd"/>
            <w:r>
              <w:rPr>
                <w:rFonts w:ascii="仿宋_GB2312" w:eastAsia="仿宋_GB2312" w:hint="eastAsia"/>
                <w:snapToGrid w:val="0"/>
                <w:sz w:val="24"/>
              </w:rPr>
              <w:t>与分包单位结算。</w:t>
            </w:r>
          </w:p>
          <w:p w:rsidR="002B7824" w:rsidRDefault="00D91C9B">
            <w:pPr>
              <w:tabs>
                <w:tab w:val="left" w:pos="0"/>
                <w:tab w:val="left" w:pos="993"/>
                <w:tab w:val="left" w:pos="1134"/>
              </w:tabs>
              <w:adjustRightInd w:val="0"/>
              <w:snapToGrid w:val="0"/>
              <w:spacing w:line="380" w:lineRule="exact"/>
              <w:ind w:firstLineChars="200" w:firstLine="480"/>
              <w:rPr>
                <w:rFonts w:ascii="仿宋_GB2312" w:eastAsia="仿宋_GB2312"/>
                <w:snapToGrid w:val="0"/>
                <w:sz w:val="24"/>
              </w:rPr>
            </w:pPr>
            <w:r>
              <w:rPr>
                <w:rFonts w:ascii="仿宋_GB2312" w:eastAsia="仿宋_GB2312" w:hint="eastAsia"/>
                <w:snapToGrid w:val="0"/>
                <w:sz w:val="24"/>
              </w:rPr>
              <w:t>（8）</w:t>
            </w:r>
            <w:proofErr w:type="gramStart"/>
            <w:r>
              <w:rPr>
                <w:rFonts w:ascii="仿宋_GB2312" w:eastAsia="仿宋_GB2312" w:hint="eastAsia"/>
                <w:snapToGrid w:val="0"/>
                <w:sz w:val="24"/>
              </w:rPr>
              <w:t>甲控乙购</w:t>
            </w:r>
            <w:proofErr w:type="gramEnd"/>
            <w:r>
              <w:rPr>
                <w:rFonts w:ascii="仿宋_GB2312" w:eastAsia="仿宋_GB2312" w:hint="eastAsia"/>
                <w:snapToGrid w:val="0"/>
                <w:sz w:val="24"/>
              </w:rPr>
              <w:t>材料（如有）的种类以及品牌范围参见工程量清单及清单编制说明中有关甲、</w:t>
            </w:r>
            <w:proofErr w:type="gramStart"/>
            <w:r>
              <w:rPr>
                <w:rFonts w:ascii="仿宋_GB2312" w:eastAsia="仿宋_GB2312" w:hint="eastAsia"/>
                <w:snapToGrid w:val="0"/>
                <w:sz w:val="24"/>
              </w:rPr>
              <w:t>乙供材</w:t>
            </w:r>
            <w:proofErr w:type="gramEnd"/>
            <w:r>
              <w:rPr>
                <w:rFonts w:ascii="仿宋_GB2312" w:eastAsia="仿宋_GB2312" w:hint="eastAsia"/>
                <w:snapToGrid w:val="0"/>
                <w:sz w:val="24"/>
              </w:rPr>
              <w:t>部分：a、</w:t>
            </w:r>
            <w:proofErr w:type="gramStart"/>
            <w:r>
              <w:rPr>
                <w:rFonts w:ascii="仿宋_GB2312" w:eastAsia="仿宋_GB2312" w:hint="eastAsia"/>
                <w:snapToGrid w:val="0"/>
                <w:sz w:val="24"/>
              </w:rPr>
              <w:t>甲供材</w:t>
            </w:r>
            <w:proofErr w:type="gramEnd"/>
            <w:r>
              <w:rPr>
                <w:rFonts w:ascii="仿宋_GB2312" w:eastAsia="仿宋_GB2312" w:hint="eastAsia"/>
                <w:snapToGrid w:val="0"/>
                <w:sz w:val="24"/>
              </w:rPr>
              <w:t>（如有）及暂定</w:t>
            </w:r>
            <w:proofErr w:type="gramStart"/>
            <w:r>
              <w:rPr>
                <w:rFonts w:ascii="仿宋_GB2312" w:eastAsia="仿宋_GB2312" w:hint="eastAsia"/>
                <w:snapToGrid w:val="0"/>
                <w:sz w:val="24"/>
              </w:rPr>
              <w:t>价材料</w:t>
            </w:r>
            <w:proofErr w:type="gramEnd"/>
            <w:r>
              <w:rPr>
                <w:rFonts w:ascii="仿宋_GB2312" w:eastAsia="仿宋_GB2312" w:hint="eastAsia"/>
                <w:snapToGrid w:val="0"/>
                <w:sz w:val="24"/>
              </w:rPr>
              <w:t>具体种类、价格详见工程量清单，暂定</w:t>
            </w:r>
            <w:proofErr w:type="gramStart"/>
            <w:r>
              <w:rPr>
                <w:rFonts w:ascii="仿宋_GB2312" w:eastAsia="仿宋_GB2312" w:hint="eastAsia"/>
                <w:snapToGrid w:val="0"/>
                <w:sz w:val="24"/>
              </w:rPr>
              <w:t>价材料</w:t>
            </w:r>
            <w:proofErr w:type="gramEnd"/>
            <w:r>
              <w:rPr>
                <w:rFonts w:ascii="仿宋_GB2312" w:eastAsia="仿宋_GB2312" w:hint="eastAsia"/>
                <w:snapToGrid w:val="0"/>
                <w:sz w:val="24"/>
              </w:rPr>
              <w:t>投标报价时统一按暂定价，若达到国家招标限额，将另行招标发包。</w:t>
            </w:r>
            <w:proofErr w:type="gramStart"/>
            <w:r>
              <w:rPr>
                <w:rFonts w:ascii="仿宋_GB2312" w:eastAsia="仿宋_GB2312" w:hint="eastAsia"/>
                <w:snapToGrid w:val="0"/>
                <w:sz w:val="24"/>
              </w:rPr>
              <w:t>乙供材料</w:t>
            </w:r>
            <w:proofErr w:type="gramEnd"/>
            <w:r>
              <w:rPr>
                <w:rFonts w:ascii="仿宋_GB2312" w:eastAsia="仿宋_GB2312" w:hint="eastAsia"/>
                <w:snapToGrid w:val="0"/>
                <w:sz w:val="24"/>
              </w:rPr>
              <w:t>由各投标单位自行报价，但投标人在报价时应充分考虑政策性调整、建材市场风险等因素。b、本工程由承包人采购的材料单价一经投标确认，结算时不作调整。材料采购进场时确认与投标报价承诺一致，报监理及发包人确认质量后方可进场。材料的试验、检测费用应包括在材料单价或其他费用中，所有费用均由承包人承担。</w:t>
            </w:r>
          </w:p>
          <w:p w:rsidR="002B7824" w:rsidRDefault="00D91C9B">
            <w:pPr>
              <w:tabs>
                <w:tab w:val="left" w:pos="0"/>
                <w:tab w:val="left" w:pos="993"/>
                <w:tab w:val="left" w:pos="1134"/>
              </w:tabs>
              <w:adjustRightInd w:val="0"/>
              <w:snapToGrid w:val="0"/>
              <w:spacing w:line="380" w:lineRule="exact"/>
              <w:ind w:firstLineChars="200" w:firstLine="480"/>
              <w:rPr>
                <w:rFonts w:ascii="仿宋_GB2312" w:eastAsia="仿宋_GB2312"/>
                <w:snapToGrid w:val="0"/>
                <w:sz w:val="24"/>
              </w:rPr>
            </w:pPr>
            <w:r>
              <w:rPr>
                <w:rFonts w:ascii="仿宋_GB2312" w:eastAsia="仿宋_GB2312" w:hint="eastAsia"/>
                <w:snapToGrid w:val="0"/>
                <w:sz w:val="24"/>
              </w:rPr>
              <w:t>（9）投标人提供的纸质投标文件中，在工程量清单报价封面上除加盖投标人单位公章及法定代表人签字盖章外，还需加盖编制该造价文件的有资质的造价专业人员的执业资格章并签字。</w:t>
            </w:r>
          </w:p>
          <w:p w:rsidR="002B7824" w:rsidRDefault="00D91C9B">
            <w:pPr>
              <w:tabs>
                <w:tab w:val="left" w:pos="0"/>
                <w:tab w:val="left" w:pos="993"/>
                <w:tab w:val="left" w:pos="1134"/>
              </w:tabs>
              <w:adjustRightInd w:val="0"/>
              <w:snapToGrid w:val="0"/>
              <w:spacing w:line="380" w:lineRule="exact"/>
              <w:ind w:firstLineChars="200" w:firstLine="480"/>
              <w:rPr>
                <w:rFonts w:ascii="仿宋_GB2312" w:eastAsia="仿宋_GB2312"/>
                <w:snapToGrid w:val="0"/>
                <w:sz w:val="24"/>
              </w:rPr>
            </w:pPr>
            <w:r>
              <w:rPr>
                <w:rFonts w:ascii="仿宋_GB2312" w:eastAsia="仿宋_GB2312" w:hint="eastAsia"/>
                <w:snapToGrid w:val="0"/>
                <w:sz w:val="24"/>
              </w:rPr>
              <w:t>（10）投标人的投标报价应为工程施工所需的显在和隐含的一切费用，因而投标人应根据招标人提供的施工图纸及工程量清单仔细计算并自行考虑风险系数进行投标报价。</w:t>
            </w:r>
          </w:p>
          <w:p w:rsidR="002B7824" w:rsidRDefault="00D91C9B">
            <w:pPr>
              <w:tabs>
                <w:tab w:val="left" w:pos="0"/>
                <w:tab w:val="left" w:pos="993"/>
                <w:tab w:val="left" w:pos="1134"/>
              </w:tabs>
              <w:adjustRightInd w:val="0"/>
              <w:snapToGrid w:val="0"/>
              <w:spacing w:line="380" w:lineRule="exact"/>
              <w:ind w:firstLineChars="200" w:firstLine="480"/>
              <w:rPr>
                <w:rFonts w:ascii="仿宋_GB2312" w:eastAsia="仿宋_GB2312"/>
                <w:snapToGrid w:val="0"/>
                <w:sz w:val="24"/>
              </w:rPr>
            </w:pPr>
            <w:r>
              <w:rPr>
                <w:rFonts w:ascii="仿宋_GB2312" w:eastAsia="仿宋_GB2312" w:hint="eastAsia"/>
                <w:snapToGrid w:val="0"/>
                <w:sz w:val="24"/>
              </w:rPr>
              <w:t>（11）施工组织设计中采用的技术措施须满足国家现行规范、规程及技术要求。</w:t>
            </w:r>
          </w:p>
          <w:p w:rsidR="002B7824" w:rsidRDefault="00D91C9B" w:rsidP="00C5659B">
            <w:pPr>
              <w:tabs>
                <w:tab w:val="left" w:pos="0"/>
                <w:tab w:val="left" w:pos="993"/>
                <w:tab w:val="left" w:pos="1134"/>
              </w:tabs>
              <w:adjustRightInd w:val="0"/>
              <w:snapToGrid w:val="0"/>
              <w:spacing w:line="380" w:lineRule="exact"/>
              <w:ind w:firstLineChars="200" w:firstLine="480"/>
              <w:rPr>
                <w:rFonts w:ascii="仿宋_GB2312" w:eastAsia="仿宋_GB2312"/>
                <w:snapToGrid w:val="0"/>
                <w:sz w:val="24"/>
              </w:rPr>
            </w:pPr>
            <w:r>
              <w:rPr>
                <w:rFonts w:ascii="仿宋_GB2312" w:eastAsia="仿宋_GB2312" w:hint="eastAsia"/>
                <w:snapToGrid w:val="0"/>
                <w:sz w:val="24"/>
              </w:rPr>
              <w:t>（12）根据</w:t>
            </w:r>
            <w:r w:rsidR="00C5659B">
              <w:rPr>
                <w:rFonts w:ascii="仿宋_GB2312" w:eastAsia="仿宋_GB2312" w:hint="eastAsia"/>
                <w:snapToGrid w:val="0"/>
                <w:sz w:val="24"/>
              </w:rPr>
              <w:t>《江苏</w:t>
            </w:r>
            <w:r w:rsidR="00C5659B" w:rsidRPr="00C5659B">
              <w:rPr>
                <w:rFonts w:ascii="仿宋_GB2312" w:eastAsia="仿宋_GB2312" w:hint="eastAsia"/>
                <w:snapToGrid w:val="0"/>
                <w:sz w:val="24"/>
              </w:rPr>
              <w:t>省住房城乡建设厅关于调整建设工程计价增值税税率的通知</w:t>
            </w:r>
            <w:r w:rsidR="00C5659B">
              <w:rPr>
                <w:rFonts w:ascii="仿宋_GB2312" w:eastAsia="仿宋_GB2312" w:hint="eastAsia"/>
                <w:snapToGrid w:val="0"/>
                <w:sz w:val="24"/>
              </w:rPr>
              <w:t>》</w:t>
            </w:r>
            <w:r>
              <w:rPr>
                <w:rFonts w:ascii="仿宋_GB2312" w:eastAsia="仿宋_GB2312" w:hint="eastAsia"/>
                <w:snapToGrid w:val="0"/>
                <w:sz w:val="24"/>
              </w:rPr>
              <w:t>（苏</w:t>
            </w:r>
            <w:proofErr w:type="gramStart"/>
            <w:r>
              <w:rPr>
                <w:rFonts w:ascii="仿宋_GB2312" w:eastAsia="仿宋_GB2312" w:hint="eastAsia"/>
                <w:snapToGrid w:val="0"/>
                <w:sz w:val="24"/>
              </w:rPr>
              <w:t>建</w:t>
            </w:r>
            <w:r w:rsidR="004225E7">
              <w:rPr>
                <w:rFonts w:ascii="仿宋_GB2312" w:eastAsia="仿宋_GB2312" w:hint="eastAsia"/>
                <w:snapToGrid w:val="0"/>
                <w:sz w:val="24"/>
              </w:rPr>
              <w:t>函</w:t>
            </w:r>
            <w:r>
              <w:rPr>
                <w:rFonts w:ascii="仿宋_GB2312" w:eastAsia="仿宋_GB2312" w:hint="eastAsia"/>
                <w:snapToGrid w:val="0"/>
                <w:sz w:val="24"/>
              </w:rPr>
              <w:t>价〔201</w:t>
            </w:r>
            <w:r w:rsidR="004225E7">
              <w:rPr>
                <w:rFonts w:ascii="仿宋_GB2312" w:eastAsia="仿宋_GB2312" w:hint="eastAsia"/>
                <w:snapToGrid w:val="0"/>
                <w:sz w:val="24"/>
              </w:rPr>
              <w:t>9</w:t>
            </w:r>
            <w:r>
              <w:rPr>
                <w:rFonts w:ascii="仿宋_GB2312" w:eastAsia="仿宋_GB2312" w:hint="eastAsia"/>
                <w:snapToGrid w:val="0"/>
                <w:sz w:val="24"/>
              </w:rPr>
              <w:t>〕</w:t>
            </w:r>
            <w:proofErr w:type="gramEnd"/>
            <w:r w:rsidR="004225E7">
              <w:rPr>
                <w:rFonts w:ascii="仿宋_GB2312" w:eastAsia="仿宋_GB2312" w:hint="eastAsia"/>
                <w:snapToGrid w:val="0"/>
                <w:sz w:val="24"/>
              </w:rPr>
              <w:t>178</w:t>
            </w:r>
            <w:r>
              <w:rPr>
                <w:rFonts w:ascii="仿宋_GB2312" w:eastAsia="仿宋_GB2312" w:hint="eastAsia"/>
                <w:snapToGrid w:val="0"/>
                <w:sz w:val="24"/>
              </w:rPr>
              <w:t>号）,本工程项目按</w:t>
            </w:r>
            <w:r>
              <w:rPr>
                <w:rFonts w:ascii="仿宋_GB2312" w:eastAsia="仿宋_GB2312" w:hAnsi="仿宋_GB2312" w:cs="仿宋_GB2312" w:hint="eastAsia"/>
                <w:sz w:val="24"/>
              </w:rPr>
              <w:t>一般计税方法</w:t>
            </w:r>
            <w:r>
              <w:rPr>
                <w:rFonts w:ascii="仿宋_GB2312" w:eastAsia="仿宋_GB2312" w:hint="eastAsia"/>
                <w:snapToGrid w:val="0"/>
                <w:sz w:val="24"/>
              </w:rPr>
              <w:t>。</w:t>
            </w:r>
          </w:p>
          <w:p w:rsidR="002B7824" w:rsidRDefault="00D91C9B">
            <w:pPr>
              <w:tabs>
                <w:tab w:val="left" w:pos="720"/>
              </w:tabs>
              <w:spacing w:line="312" w:lineRule="auto"/>
              <w:rPr>
                <w:rFonts w:ascii="仿宋" w:eastAsia="仿宋" w:hAnsi="仿宋" w:cs="仿宋"/>
                <w:color w:val="000000"/>
                <w:sz w:val="24"/>
                <w:szCs w:val="24"/>
              </w:rPr>
            </w:pPr>
            <w:r>
              <w:rPr>
                <w:rFonts w:ascii="仿宋" w:eastAsia="仿宋" w:hAnsi="仿宋" w:cs="仿宋" w:hint="eastAsia"/>
                <w:color w:val="000000"/>
                <w:sz w:val="24"/>
                <w:szCs w:val="24"/>
              </w:rPr>
              <w:t>五、其它相关说明：</w:t>
            </w:r>
          </w:p>
          <w:p w:rsidR="002B7824" w:rsidRDefault="00D91C9B">
            <w:pPr>
              <w:tabs>
                <w:tab w:val="left" w:pos="720"/>
              </w:tabs>
              <w:spacing w:line="312"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1）按照提供的“工程量清单”电子文档填写工程量清单，本项目工程量清单为固化格式，不得擅自修改工程量清单项目名称、计量单位、工程数量或运算定义等引起错误。投标价大写金额与清单汇总表中投标价小写金额应该一致（准确到单位.元）。</w:t>
            </w:r>
          </w:p>
          <w:p w:rsidR="002B7824" w:rsidRDefault="00D91C9B">
            <w:pPr>
              <w:tabs>
                <w:tab w:val="left" w:pos="720"/>
              </w:tabs>
              <w:spacing w:line="312"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（2）报价中考虑完成本工程分部分项清单工程内容所需发生的全部模板、支架、脚手架费用，此项费用不单独列项。</w:t>
            </w:r>
          </w:p>
          <w:p w:rsidR="002B7824" w:rsidRDefault="00D91C9B">
            <w:pPr>
              <w:tabs>
                <w:tab w:val="left" w:pos="720"/>
              </w:tabs>
              <w:spacing w:line="312" w:lineRule="auto"/>
              <w:ind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（3）报价清单中</w:t>
            </w:r>
            <w:r>
              <w:rPr>
                <w:rFonts w:ascii="仿宋" w:eastAsia="仿宋" w:hAnsi="仿宋" w:cs="仿宋"/>
                <w:color w:val="000000"/>
                <w:sz w:val="24"/>
                <w:szCs w:val="24"/>
              </w:rPr>
              <w:t>管理费、利润</w:t>
            </w:r>
            <w:r>
              <w:rPr>
                <w:rFonts w:ascii="仿宋" w:eastAsia="仿宋" w:hAnsi="仿宋" w:cs="仿宋" w:hint="eastAsia"/>
                <w:color w:val="000000"/>
                <w:sz w:val="24"/>
                <w:szCs w:val="24"/>
              </w:rPr>
              <w:t>按安装二类工程计取；人工费</w:t>
            </w:r>
            <w:proofErr w:type="gramStart"/>
            <w:r>
              <w:rPr>
                <w:rFonts w:ascii="仿宋" w:eastAsia="仿宋" w:hAnsi="仿宋" w:cs="仿宋" w:hint="eastAsia"/>
                <w:color w:val="000000"/>
                <w:sz w:val="24"/>
                <w:szCs w:val="24"/>
              </w:rPr>
              <w:t>按苏建函价</w:t>
            </w:r>
            <w:proofErr w:type="gramEnd"/>
            <w:r>
              <w:rPr>
                <w:rFonts w:ascii="仿宋" w:eastAsia="仿宋" w:hAnsi="仿宋" w:cs="仿宋" w:hint="eastAsia"/>
                <w:color w:val="000000"/>
                <w:sz w:val="24"/>
                <w:szCs w:val="24"/>
              </w:rPr>
              <w:t>[201</w:t>
            </w:r>
            <w:r w:rsidR="004225E7">
              <w:rPr>
                <w:rFonts w:ascii="仿宋" w:eastAsia="仿宋" w:hAnsi="仿宋" w:cs="仿宋" w:hint="eastAsia"/>
                <w:color w:val="000000"/>
                <w:sz w:val="24"/>
                <w:szCs w:val="24"/>
              </w:rPr>
              <w:t>9</w:t>
            </w:r>
            <w:r>
              <w:rPr>
                <w:rFonts w:ascii="仿宋" w:eastAsia="仿宋" w:hAnsi="仿宋" w:cs="仿宋" w:hint="eastAsia"/>
                <w:color w:val="000000"/>
                <w:sz w:val="24"/>
                <w:szCs w:val="24"/>
              </w:rPr>
              <w:t>]</w:t>
            </w:r>
            <w:r w:rsidR="004225E7">
              <w:rPr>
                <w:rFonts w:ascii="仿宋" w:eastAsia="仿宋" w:hAnsi="仿宋" w:cs="仿宋" w:hint="eastAsia"/>
                <w:color w:val="000000"/>
                <w:sz w:val="24"/>
                <w:szCs w:val="24"/>
              </w:rPr>
              <w:t>411</w:t>
            </w:r>
            <w:r>
              <w:rPr>
                <w:rFonts w:ascii="仿宋" w:eastAsia="仿宋" w:hAnsi="仿宋" w:cs="仿宋" w:hint="eastAsia"/>
                <w:color w:val="000000"/>
                <w:sz w:val="24"/>
                <w:szCs w:val="24"/>
              </w:rPr>
              <w:t>号文计取。</w:t>
            </w:r>
          </w:p>
          <w:p w:rsidR="002B7824" w:rsidRDefault="006862EB" w:rsidP="006862EB">
            <w:pPr>
              <w:spacing w:line="312" w:lineRule="auto"/>
              <w:rPr>
                <w:rFonts w:ascii="仿宋" w:eastAsia="仿宋" w:hAnsi="仿宋" w:cs="仿宋" w:hint="eastAsia"/>
                <w:color w:val="000000"/>
                <w:sz w:val="24"/>
                <w:szCs w:val="24"/>
              </w:rPr>
            </w:pPr>
            <w:r>
              <w:rPr>
                <w:rFonts w:ascii="仿宋" w:eastAsia="仿宋" w:hAnsi="仿宋" w:cs="仿宋" w:hint="eastAsia"/>
                <w:color w:val="000000"/>
                <w:sz w:val="24"/>
                <w:szCs w:val="24"/>
              </w:rPr>
              <w:t>六、品牌要求：与原监控系统同一品牌</w:t>
            </w:r>
            <w:bookmarkStart w:id="14" w:name="_GoBack"/>
            <w:bookmarkEnd w:id="14"/>
          </w:p>
        </w:tc>
      </w:tr>
    </w:tbl>
    <w:p w:rsidR="002B7824" w:rsidRDefault="002B7824"/>
    <w:sectPr w:rsidR="002B7824" w:rsidSect="002B78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187" w:rsidRDefault="00415187" w:rsidP="00396604">
      <w:r>
        <w:separator/>
      </w:r>
    </w:p>
  </w:endnote>
  <w:endnote w:type="continuationSeparator" w:id="0">
    <w:p w:rsidR="00415187" w:rsidRDefault="00415187" w:rsidP="0039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187" w:rsidRDefault="00415187" w:rsidP="00396604">
      <w:r>
        <w:separator/>
      </w:r>
    </w:p>
  </w:footnote>
  <w:footnote w:type="continuationSeparator" w:id="0">
    <w:p w:rsidR="00415187" w:rsidRDefault="00415187" w:rsidP="003966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98200B"/>
    <w:multiLevelType w:val="singleLevel"/>
    <w:tmpl w:val="5398200B"/>
    <w:lvl w:ilvl="0">
      <w:start w:val="1"/>
      <w:numFmt w:val="decimal"/>
      <w:suff w:val="nothing"/>
      <w:lvlText w:val="%1、"/>
      <w:lvlJc w:val="left"/>
    </w:lvl>
  </w:abstractNum>
  <w:abstractNum w:abstractNumId="1" w15:restartNumberingAfterBreak="0">
    <w:nsid w:val="59CC8704"/>
    <w:multiLevelType w:val="singleLevel"/>
    <w:tmpl w:val="59CC8704"/>
    <w:lvl w:ilvl="0">
      <w:start w:val="4"/>
      <w:numFmt w:val="chineseCounting"/>
      <w:suff w:val="nothing"/>
      <w:lvlText w:val="%1、"/>
      <w:lvlJc w:val="left"/>
    </w:lvl>
  </w:abstractNum>
  <w:abstractNum w:abstractNumId="2" w15:restartNumberingAfterBreak="0">
    <w:nsid w:val="59CC87D0"/>
    <w:multiLevelType w:val="singleLevel"/>
    <w:tmpl w:val="59CC87D0"/>
    <w:lvl w:ilvl="0">
      <w:start w:val="1"/>
      <w:numFmt w:val="decimal"/>
      <w:suff w:val="nothing"/>
      <w:lvlText w:val="（%1）"/>
      <w:lvlJc w:val="left"/>
    </w:lvl>
  </w:abstractNum>
  <w:num w:numId="1">
    <w:abstractNumId w:val="0"/>
    <w:lvlOverride w:ilvl="0">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61908FD"/>
    <w:rsid w:val="00164E7A"/>
    <w:rsid w:val="001F537F"/>
    <w:rsid w:val="00202252"/>
    <w:rsid w:val="00270E53"/>
    <w:rsid w:val="002B7824"/>
    <w:rsid w:val="0032589A"/>
    <w:rsid w:val="0036538A"/>
    <w:rsid w:val="00367B3E"/>
    <w:rsid w:val="00396604"/>
    <w:rsid w:val="003F2722"/>
    <w:rsid w:val="00415187"/>
    <w:rsid w:val="004225E7"/>
    <w:rsid w:val="004C2DB2"/>
    <w:rsid w:val="004D57C9"/>
    <w:rsid w:val="00515957"/>
    <w:rsid w:val="005D06C0"/>
    <w:rsid w:val="005D4F41"/>
    <w:rsid w:val="005F149F"/>
    <w:rsid w:val="006339E4"/>
    <w:rsid w:val="006862EB"/>
    <w:rsid w:val="006B2238"/>
    <w:rsid w:val="00721253"/>
    <w:rsid w:val="007934BE"/>
    <w:rsid w:val="007A04AD"/>
    <w:rsid w:val="007C72A4"/>
    <w:rsid w:val="008173D9"/>
    <w:rsid w:val="00866665"/>
    <w:rsid w:val="009B0E07"/>
    <w:rsid w:val="00A5738A"/>
    <w:rsid w:val="00A64B6B"/>
    <w:rsid w:val="00A70437"/>
    <w:rsid w:val="00A9623E"/>
    <w:rsid w:val="00AE63BD"/>
    <w:rsid w:val="00B00055"/>
    <w:rsid w:val="00B166EB"/>
    <w:rsid w:val="00B24AA4"/>
    <w:rsid w:val="00BB65FE"/>
    <w:rsid w:val="00BE2E63"/>
    <w:rsid w:val="00BE52EE"/>
    <w:rsid w:val="00C122FD"/>
    <w:rsid w:val="00C5659B"/>
    <w:rsid w:val="00D049F8"/>
    <w:rsid w:val="00D46A10"/>
    <w:rsid w:val="00D91C9B"/>
    <w:rsid w:val="00F31864"/>
    <w:rsid w:val="03EE2AA6"/>
    <w:rsid w:val="066235DB"/>
    <w:rsid w:val="0B304193"/>
    <w:rsid w:val="2BE627CD"/>
    <w:rsid w:val="2C9F7953"/>
    <w:rsid w:val="319C6938"/>
    <w:rsid w:val="34926243"/>
    <w:rsid w:val="584640DC"/>
    <w:rsid w:val="6181639A"/>
    <w:rsid w:val="761908F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D85685"/>
  <w15:docId w15:val="{23389AFB-296B-45C6-83B3-F7AB9457D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B7824"/>
    <w:pPr>
      <w:widowControl w:val="0"/>
      <w:jc w:val="both"/>
    </w:pPr>
    <w:rPr>
      <w:rFonts w:ascii="Calibri" w:eastAsia="宋体" w:hAnsi="Calibri" w:cs="Times New Roman"/>
      <w:kern w:val="2"/>
      <w:sz w:val="21"/>
      <w:szCs w:val="22"/>
    </w:rPr>
  </w:style>
  <w:style w:type="paragraph" w:styleId="3">
    <w:name w:val="heading 3"/>
    <w:basedOn w:val="a"/>
    <w:next w:val="a"/>
    <w:link w:val="30"/>
    <w:qFormat/>
    <w:rsid w:val="00F31864"/>
    <w:pPr>
      <w:keepNext/>
      <w:keepLines/>
      <w:spacing w:before="260" w:after="260" w:line="416" w:lineRule="auto"/>
      <w:outlineLvl w:val="2"/>
    </w:pPr>
    <w:rPr>
      <w:rFonts w:ascii="Times New Roman" w:hAnsi="Times New Roman"/>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2B7824"/>
    <w:pPr>
      <w:spacing w:after="120" w:line="360" w:lineRule="auto"/>
    </w:pPr>
    <w:rPr>
      <w:szCs w:val="20"/>
    </w:rPr>
  </w:style>
  <w:style w:type="paragraph" w:styleId="a4">
    <w:name w:val="footer"/>
    <w:basedOn w:val="a"/>
    <w:link w:val="a5"/>
    <w:rsid w:val="002B7824"/>
    <w:pPr>
      <w:tabs>
        <w:tab w:val="center" w:pos="4153"/>
        <w:tab w:val="right" w:pos="8306"/>
      </w:tabs>
      <w:snapToGrid w:val="0"/>
      <w:jc w:val="left"/>
    </w:pPr>
    <w:rPr>
      <w:sz w:val="18"/>
      <w:szCs w:val="18"/>
    </w:rPr>
  </w:style>
  <w:style w:type="paragraph" w:styleId="a6">
    <w:name w:val="header"/>
    <w:basedOn w:val="a"/>
    <w:link w:val="a7"/>
    <w:rsid w:val="002B7824"/>
    <w:pPr>
      <w:pBdr>
        <w:bottom w:val="single" w:sz="6" w:space="1" w:color="auto"/>
      </w:pBdr>
      <w:tabs>
        <w:tab w:val="center" w:pos="4153"/>
        <w:tab w:val="right" w:pos="8306"/>
      </w:tabs>
      <w:snapToGrid w:val="0"/>
      <w:jc w:val="center"/>
    </w:pPr>
    <w:rPr>
      <w:sz w:val="18"/>
      <w:szCs w:val="18"/>
    </w:rPr>
  </w:style>
  <w:style w:type="character" w:styleId="a8">
    <w:name w:val="Hyperlink"/>
    <w:basedOn w:val="a0"/>
    <w:qFormat/>
    <w:rsid w:val="002B7824"/>
    <w:rPr>
      <w:color w:val="0563C1" w:themeColor="hyperlink"/>
      <w:u w:val="single"/>
    </w:rPr>
  </w:style>
  <w:style w:type="paragraph" w:customStyle="1" w:styleId="1">
    <w:name w:val="列出段落1"/>
    <w:basedOn w:val="a"/>
    <w:uiPriority w:val="99"/>
    <w:unhideWhenUsed/>
    <w:qFormat/>
    <w:rsid w:val="002B7824"/>
    <w:pPr>
      <w:ind w:firstLineChars="200" w:firstLine="420"/>
    </w:pPr>
  </w:style>
  <w:style w:type="paragraph" w:customStyle="1" w:styleId="015">
    <w:name w:val="样式 正文文字 + 小四 段后: 0 磅 行距: 1.5 倍行距"/>
    <w:basedOn w:val="a3"/>
    <w:qFormat/>
    <w:rsid w:val="002B7824"/>
    <w:pPr>
      <w:spacing w:after="0"/>
      <w:ind w:firstLineChars="200" w:firstLine="480"/>
    </w:pPr>
    <w:rPr>
      <w:rFonts w:cs="宋体"/>
      <w:sz w:val="24"/>
    </w:rPr>
  </w:style>
  <w:style w:type="character" w:customStyle="1" w:styleId="a7">
    <w:name w:val="页眉 字符"/>
    <w:basedOn w:val="a0"/>
    <w:link w:val="a6"/>
    <w:rsid w:val="002B7824"/>
    <w:rPr>
      <w:rFonts w:ascii="Calibri" w:eastAsia="宋体" w:hAnsi="Calibri" w:cs="Times New Roman"/>
      <w:kern w:val="2"/>
      <w:sz w:val="18"/>
      <w:szCs w:val="18"/>
    </w:rPr>
  </w:style>
  <w:style w:type="character" w:customStyle="1" w:styleId="a5">
    <w:name w:val="页脚 字符"/>
    <w:basedOn w:val="a0"/>
    <w:link w:val="a4"/>
    <w:rsid w:val="002B7824"/>
    <w:rPr>
      <w:rFonts w:ascii="Calibri" w:eastAsia="宋体" w:hAnsi="Calibri" w:cs="Times New Roman"/>
      <w:kern w:val="2"/>
      <w:sz w:val="18"/>
      <w:szCs w:val="18"/>
    </w:rPr>
  </w:style>
  <w:style w:type="paragraph" w:styleId="a9">
    <w:name w:val="List Paragraph"/>
    <w:basedOn w:val="a"/>
    <w:uiPriority w:val="34"/>
    <w:unhideWhenUsed/>
    <w:qFormat/>
    <w:rsid w:val="002B7824"/>
    <w:pPr>
      <w:ind w:firstLineChars="200" w:firstLine="420"/>
    </w:pPr>
    <w:rPr>
      <w:rFonts w:ascii="Times New Roman" w:hAnsi="Times New Roman"/>
      <w:szCs w:val="24"/>
    </w:rPr>
  </w:style>
  <w:style w:type="character" w:customStyle="1" w:styleId="30">
    <w:name w:val="标题 3 字符"/>
    <w:basedOn w:val="a0"/>
    <w:link w:val="3"/>
    <w:rsid w:val="00F31864"/>
    <w:rPr>
      <w:rFonts w:ascii="Times New Roman" w:eastAsia="宋体" w:hAnsi="Times New Roman" w:cs="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1488</Characters>
  <Application>Microsoft Office Word</Application>
  <DocSecurity>0</DocSecurity>
  <Lines>12</Lines>
  <Paragraphs>3</Paragraphs>
  <ScaleCrop>false</ScaleCrop>
  <Company>微软中国</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2019-12-02T03:13:00Z</dcterms:created>
  <dcterms:modified xsi:type="dcterms:W3CDTF">2019-12-02T03:13:00Z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